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C3D65" w14:textId="468E18DC" w:rsidR="00646CAA" w:rsidRPr="00352DE3" w:rsidRDefault="00646CAA" w:rsidP="00947AA6">
      <w:pPr>
        <w:jc w:val="both"/>
        <w:rPr>
          <w:rFonts w:ascii="Arial" w:hAnsi="Arial"/>
          <w:i/>
          <w:color w:val="000000" w:themeColor="text1"/>
          <w:sz w:val="20"/>
          <w:lang w:val="en-GB"/>
        </w:rPr>
      </w:pPr>
      <w:r w:rsidRPr="00352DE3">
        <w:rPr>
          <w:rFonts w:ascii="Arial" w:hAnsi="Arial"/>
          <w:i/>
          <w:color w:val="000000" w:themeColor="text1"/>
          <w:sz w:val="20"/>
          <w:lang w:val="en-GB"/>
        </w:rPr>
        <w:t>Set out below is a form of termsheet. This document does not constitute or form part of and should not be construed as, an offer to sell or issue or the solicitation of an offer to buy or acquire securities in any jurisdiction or an inducement to enter into investment activity. No part of this document, nor the fact of its distribution, should form the basis of, or be relied on in connection with, any contract or commitment or investment decision whatsoever.</w:t>
      </w:r>
    </w:p>
    <w:p w14:paraId="342837F4" w14:textId="119E41BD" w:rsidR="00451A11" w:rsidRPr="004304C8" w:rsidRDefault="00241DDE" w:rsidP="00352DE3">
      <w:pPr>
        <w:tabs>
          <w:tab w:val="center" w:pos="4680"/>
          <w:tab w:val="left" w:pos="7947"/>
          <w:tab w:val="right" w:pos="9360"/>
        </w:tabs>
        <w:spacing w:beforeLines="20" w:before="48" w:afterLines="20" w:after="48"/>
        <w:jc w:val="center"/>
        <w:rPr>
          <w:rFonts w:ascii="Arial" w:hAnsi="Arial" w:cs="Arial"/>
          <w:b/>
          <w:bCs/>
          <w:color w:val="000000" w:themeColor="text1"/>
          <w:sz w:val="20"/>
          <w:szCs w:val="20"/>
        </w:rPr>
      </w:pPr>
      <w:r w:rsidRPr="00241DDE">
        <w:rPr>
          <w:rFonts w:ascii="Arial" w:hAnsi="Arial" w:cs="Arial"/>
          <w:b/>
          <w:bCs/>
          <w:color w:val="000000" w:themeColor="text1"/>
          <w:sz w:val="20"/>
          <w:szCs w:val="20"/>
        </w:rPr>
        <w:t xml:space="preserve">IFC SOFR FRN USD </w:t>
      </w:r>
      <w:r>
        <w:rPr>
          <w:rFonts w:ascii="Arial" w:hAnsi="Arial" w:cs="Arial"/>
          <w:b/>
          <w:bCs/>
          <w:color w:val="000000" w:themeColor="text1"/>
          <w:sz w:val="20"/>
          <w:szCs w:val="20"/>
        </w:rPr>
        <w:t>xx</w:t>
      </w:r>
      <w:r w:rsidRPr="00241DDE">
        <w:rPr>
          <w:rFonts w:ascii="Arial" w:hAnsi="Arial" w:cs="Arial"/>
          <w:b/>
          <w:bCs/>
          <w:color w:val="000000" w:themeColor="text1"/>
          <w:sz w:val="20"/>
          <w:szCs w:val="20"/>
        </w:rPr>
        <w:t xml:space="preserve"> mm due </w:t>
      </w:r>
      <w:r w:rsidR="0045017F">
        <w:rPr>
          <w:rFonts w:ascii="Arial" w:hAnsi="Arial" w:cs="Arial"/>
          <w:b/>
          <w:bCs/>
          <w:color w:val="000000" w:themeColor="text1"/>
          <w:sz w:val="20"/>
          <w:szCs w:val="20"/>
        </w:rPr>
        <w:t>[</w:t>
      </w:r>
      <w:r w:rsidR="00623DD0">
        <w:rPr>
          <w:rFonts w:ascii="Arial" w:hAnsi="Arial" w:cs="Arial" w:hint="eastAsia"/>
          <w:b/>
          <w:bCs/>
          <w:color w:val="000000" w:themeColor="text1"/>
          <w:sz w:val="20"/>
          <w:szCs w:val="20"/>
          <w:lang w:eastAsia="ja-JP"/>
        </w:rPr>
        <w:t>xx</w:t>
      </w:r>
      <w:r w:rsidR="0045017F">
        <w:rPr>
          <w:rFonts w:ascii="Arial" w:hAnsi="Arial" w:cs="Arial"/>
          <w:b/>
          <w:bCs/>
          <w:color w:val="000000" w:themeColor="text1"/>
          <w:sz w:val="20"/>
          <w:szCs w:val="20"/>
        </w:rPr>
        <w:t>]</w:t>
      </w:r>
    </w:p>
    <w:p w14:paraId="2C4EB650" w14:textId="7CEFD194" w:rsidR="00451A11" w:rsidRPr="004304C8" w:rsidRDefault="00567F4B" w:rsidP="00352DE3">
      <w:pPr>
        <w:tabs>
          <w:tab w:val="left" w:pos="2272"/>
          <w:tab w:val="center" w:pos="4680"/>
          <w:tab w:val="left" w:pos="7947"/>
          <w:tab w:val="right" w:pos="9360"/>
        </w:tabs>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t>Final Term Sheet</w:t>
      </w:r>
    </w:p>
    <w:p w14:paraId="17480FBB" w14:textId="77777777" w:rsidR="00646CAA" w:rsidRPr="004304C8" w:rsidRDefault="00646CAA" w:rsidP="00352DE3">
      <w:pPr>
        <w:tabs>
          <w:tab w:val="left" w:pos="2272"/>
          <w:tab w:val="center" w:pos="4680"/>
          <w:tab w:val="left" w:pos="7947"/>
          <w:tab w:val="right" w:pos="9360"/>
        </w:tabs>
        <w:spacing w:beforeLines="20" w:before="48" w:afterLines="20" w:after="48"/>
        <w:jc w:val="center"/>
        <w:rPr>
          <w:rFonts w:ascii="Arial" w:hAnsi="Arial" w:cs="Arial"/>
          <w:b/>
          <w:bCs/>
          <w:color w:val="000000" w:themeColor="text1"/>
          <w:sz w:val="20"/>
          <w:szCs w:val="20"/>
        </w:rPr>
      </w:pPr>
    </w:p>
    <w:tbl>
      <w:tblPr>
        <w:tblStyle w:val="TableGrid"/>
        <w:tblW w:w="93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10"/>
        <w:gridCol w:w="6750"/>
      </w:tblGrid>
      <w:tr w:rsidR="004304C8" w:rsidRPr="004304C8" w14:paraId="1BF6A306" w14:textId="06BAD4D4" w:rsidTr="00352DE3">
        <w:trPr>
          <w:trHeight w:val="152"/>
        </w:trPr>
        <w:tc>
          <w:tcPr>
            <w:tcW w:w="9360" w:type="dxa"/>
            <w:gridSpan w:val="2"/>
            <w:shd w:val="clear" w:color="auto" w:fill="D5DCE4" w:themeFill="text2" w:themeFillTint="33"/>
            <w:noWrap/>
            <w:vAlign w:val="center"/>
          </w:tcPr>
          <w:p w14:paraId="48838EEC" w14:textId="034AC994" w:rsidR="001D6025" w:rsidRPr="004304C8" w:rsidRDefault="001D6025" w:rsidP="00352DE3">
            <w:pPr>
              <w:spacing w:before="60" w:after="60"/>
              <w:jc w:val="center"/>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GENERAL TERMS</w:t>
            </w:r>
          </w:p>
        </w:tc>
      </w:tr>
      <w:tr w:rsidR="004304C8" w:rsidRPr="004304C8" w14:paraId="0CE62F27" w14:textId="77777777" w:rsidTr="00352DE3">
        <w:trPr>
          <w:trHeight w:val="289"/>
        </w:trPr>
        <w:tc>
          <w:tcPr>
            <w:tcW w:w="2610" w:type="dxa"/>
            <w:shd w:val="clear" w:color="auto" w:fill="D9E2F3" w:themeFill="accent1" w:themeFillTint="33"/>
            <w:noWrap/>
          </w:tcPr>
          <w:p w14:paraId="19255E4E" w14:textId="6768E694" w:rsidR="00F562D9" w:rsidRPr="004304C8" w:rsidRDefault="00F562D9" w:rsidP="00352DE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Issuer</w:t>
            </w:r>
          </w:p>
        </w:tc>
        <w:tc>
          <w:tcPr>
            <w:tcW w:w="6750" w:type="dxa"/>
          </w:tcPr>
          <w:p w14:paraId="499FA768" w14:textId="23DD793A" w:rsidR="00F562D9" w:rsidRPr="004304C8" w:rsidRDefault="00A74D10" w:rsidP="00352DE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International Finance Corporation (“IFC</w:t>
            </w:r>
            <w:r w:rsidR="00B72EA5"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t>)</w:t>
            </w:r>
          </w:p>
        </w:tc>
      </w:tr>
      <w:tr w:rsidR="004304C8" w:rsidRPr="004304C8" w14:paraId="273821B7" w14:textId="77777777" w:rsidTr="00352DE3">
        <w:trPr>
          <w:trHeight w:val="289"/>
        </w:trPr>
        <w:tc>
          <w:tcPr>
            <w:tcW w:w="2610" w:type="dxa"/>
            <w:shd w:val="clear" w:color="auto" w:fill="D9E2F3" w:themeFill="accent1" w:themeFillTint="33"/>
            <w:noWrap/>
          </w:tcPr>
          <w:p w14:paraId="4EC6395D" w14:textId="3E629947" w:rsidR="00232031" w:rsidRPr="004304C8" w:rsidRDefault="00232031" w:rsidP="00352DE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Issuer Ratings</w:t>
            </w:r>
          </w:p>
        </w:tc>
        <w:tc>
          <w:tcPr>
            <w:tcW w:w="6750" w:type="dxa"/>
          </w:tcPr>
          <w:p w14:paraId="259383E8" w14:textId="19DD0ABD" w:rsidR="00232031" w:rsidRPr="004304C8" w:rsidRDefault="00CB5185" w:rsidP="00352DE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Aaa (stable - Moody’s) / AAA (stable - S&amp;P)</w:t>
            </w:r>
          </w:p>
        </w:tc>
      </w:tr>
      <w:tr w:rsidR="004304C8" w:rsidRPr="004304C8" w14:paraId="042A0769" w14:textId="77777777" w:rsidTr="00352DE3">
        <w:trPr>
          <w:trHeight w:val="289"/>
        </w:trPr>
        <w:tc>
          <w:tcPr>
            <w:tcW w:w="2610" w:type="dxa"/>
            <w:shd w:val="clear" w:color="auto" w:fill="D9E2F3" w:themeFill="accent1" w:themeFillTint="33"/>
            <w:noWrap/>
          </w:tcPr>
          <w:p w14:paraId="523A0BCB" w14:textId="679F06A4" w:rsidR="00232031" w:rsidRPr="004304C8" w:rsidRDefault="00261D08" w:rsidP="00352DE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Expected </w:t>
            </w:r>
            <w:r w:rsidR="00232031" w:rsidRPr="004304C8">
              <w:rPr>
                <w:rFonts w:ascii="Arial" w:eastAsia="Times New Roman" w:hAnsi="Arial" w:cs="Arial"/>
                <w:color w:val="000000" w:themeColor="text1"/>
                <w:sz w:val="20"/>
                <w:szCs w:val="20"/>
              </w:rPr>
              <w:t>Note Ratings</w:t>
            </w:r>
          </w:p>
        </w:tc>
        <w:tc>
          <w:tcPr>
            <w:tcW w:w="6750" w:type="dxa"/>
          </w:tcPr>
          <w:p w14:paraId="17E34064" w14:textId="334EEC8A" w:rsidR="00232031" w:rsidRPr="004304C8" w:rsidRDefault="00000000" w:rsidP="00352DE3">
            <w:pPr>
              <w:spacing w:before="60" w:after="60"/>
              <w:rPr>
                <w:rFonts w:ascii="Arial" w:eastAsia="Times New Roman" w:hAnsi="Arial" w:cs="Arial"/>
                <w:color w:val="000000" w:themeColor="text1"/>
                <w:sz w:val="20"/>
                <w:szCs w:val="20"/>
              </w:rPr>
            </w:pPr>
            <w:sdt>
              <w:sdtPr>
                <w:rPr>
                  <w:rFonts w:ascii="Arial" w:eastAsia="Times New Roman" w:hAnsi="Arial" w:cs="Arial"/>
                  <w:color w:val="000000" w:themeColor="text1"/>
                  <w:sz w:val="20"/>
                  <w:szCs w:val="20"/>
                </w:rPr>
                <w:id w:val="-163555801"/>
                <w:placeholder>
                  <w:docPart w:val="6127BA42C1714398BFC7EB4CEE9A649E"/>
                </w:placeholder>
                <w:comboBox>
                  <w:listItem w:value="Choose an item."/>
                  <w:listItem w:displayText="N/A" w:value="N/A"/>
                  <w:listItem w:displayText="Aaa (Moody's) / AAA (S&amp;P)" w:value="Aaa (Moody's) / AAA (S&amp;P)"/>
                  <w:listItem w:displayText="P-1 (Moody’s) / A-1+ (S&amp;P)" w:value="P-1 (Moody’s) / A-1+ (S&amp;P)"/>
                </w:comboBox>
              </w:sdtPr>
              <w:sdtContent>
                <w:r w:rsidR="001E6A11">
                  <w:rPr>
                    <w:rFonts w:ascii="Arial" w:eastAsia="Times New Roman" w:hAnsi="Arial" w:cs="Arial"/>
                    <w:color w:val="000000" w:themeColor="text1"/>
                    <w:sz w:val="20"/>
                    <w:szCs w:val="20"/>
                  </w:rPr>
                  <w:t>Aaa (Moody's) / AAA (S&amp;P)</w:t>
                </w:r>
              </w:sdtContent>
            </w:sdt>
          </w:p>
        </w:tc>
      </w:tr>
      <w:tr w:rsidR="004304C8" w:rsidRPr="004304C8" w14:paraId="5FFAAB97" w14:textId="77777777" w:rsidTr="00352DE3">
        <w:trPr>
          <w:trHeight w:val="289"/>
        </w:trPr>
        <w:tc>
          <w:tcPr>
            <w:tcW w:w="2610" w:type="dxa"/>
            <w:shd w:val="clear" w:color="auto" w:fill="D9E2F3" w:themeFill="accent1" w:themeFillTint="33"/>
            <w:noWrap/>
          </w:tcPr>
          <w:p w14:paraId="39071B53" w14:textId="73492A31" w:rsidR="002156DA" w:rsidRPr="004304C8" w:rsidRDefault="002156DA" w:rsidP="00352DE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Theme</w:t>
            </w:r>
          </w:p>
        </w:tc>
        <w:sdt>
          <w:sdtPr>
            <w:rPr>
              <w:rFonts w:ascii="Arial" w:eastAsia="Times New Roman" w:hAnsi="Arial" w:cs="Arial"/>
              <w:color w:val="000000" w:themeColor="text1"/>
              <w:sz w:val="20"/>
              <w:szCs w:val="20"/>
            </w:rPr>
            <w:id w:val="502476915"/>
            <w:placeholder>
              <w:docPart w:val="06DC207E3A4E4FF28F285FEEC7B97479"/>
            </w:placeholder>
            <w:comboBox>
              <w:listItem w:value="Choose an item."/>
              <w:listItem w:displayText="N/A" w:value="N/A"/>
              <w:listItem w:displayText="Green" w:value="Green"/>
              <w:listItem w:displayText="Social" w:value="Social"/>
            </w:comboBox>
          </w:sdtPr>
          <w:sdtContent>
            <w:tc>
              <w:tcPr>
                <w:tcW w:w="6750" w:type="dxa"/>
              </w:tcPr>
              <w:p w14:paraId="60B0214F" w14:textId="121ED350" w:rsidR="002156DA" w:rsidRPr="004304C8" w:rsidRDefault="001E6A11" w:rsidP="00352DE3">
                <w:pPr>
                  <w:spacing w:before="60" w:after="6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N/A</w:t>
                </w:r>
              </w:p>
            </w:tc>
          </w:sdtContent>
        </w:sdt>
      </w:tr>
      <w:tr w:rsidR="004304C8" w:rsidRPr="004304C8" w14:paraId="7C860C5A" w14:textId="2AB17288" w:rsidTr="00352DE3">
        <w:trPr>
          <w:trHeight w:val="289"/>
        </w:trPr>
        <w:tc>
          <w:tcPr>
            <w:tcW w:w="2610" w:type="dxa"/>
            <w:shd w:val="clear" w:color="auto" w:fill="D9E2F3" w:themeFill="accent1" w:themeFillTint="33"/>
            <w:noWrap/>
            <w:hideMark/>
          </w:tcPr>
          <w:p w14:paraId="3C289918" w14:textId="47579990" w:rsidR="00232031" w:rsidRPr="004304C8" w:rsidRDefault="00232031" w:rsidP="00352DE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Dealer</w:t>
            </w:r>
          </w:p>
        </w:tc>
        <w:tc>
          <w:tcPr>
            <w:tcW w:w="6750" w:type="dxa"/>
          </w:tcPr>
          <w:p w14:paraId="748386BF" w14:textId="5DF1B897" w:rsidR="00232031" w:rsidRPr="004304C8" w:rsidRDefault="008D760C" w:rsidP="00352DE3">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[Insert Dealer’s full legal name/branch]</w:t>
            </w:r>
          </w:p>
        </w:tc>
      </w:tr>
      <w:tr w:rsidR="004304C8" w:rsidRPr="004304C8" w14:paraId="4FBB13B0" w14:textId="77777777" w:rsidTr="00352DE3">
        <w:trPr>
          <w:trHeight w:val="289"/>
        </w:trPr>
        <w:tc>
          <w:tcPr>
            <w:tcW w:w="2610" w:type="dxa"/>
            <w:shd w:val="clear" w:color="auto" w:fill="D9E2F3" w:themeFill="accent1" w:themeFillTint="33"/>
            <w:noWrap/>
          </w:tcPr>
          <w:p w14:paraId="3A880553" w14:textId="55F84E30" w:rsidR="0031009F" w:rsidRPr="004304C8" w:rsidRDefault="0031009F" w:rsidP="00352DE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Denomination Currency</w:t>
            </w:r>
          </w:p>
        </w:tc>
        <w:tc>
          <w:tcPr>
            <w:tcW w:w="6750" w:type="dxa"/>
          </w:tcPr>
          <w:p w14:paraId="0F411B25" w14:textId="134C7D18" w:rsidR="0031009F" w:rsidRPr="004304C8" w:rsidRDefault="00855B2C" w:rsidP="00352DE3">
            <w:pPr>
              <w:spacing w:before="60" w:after="6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USD</w:t>
            </w:r>
          </w:p>
        </w:tc>
      </w:tr>
      <w:tr w:rsidR="004304C8" w:rsidRPr="004304C8" w14:paraId="40D0B0F8" w14:textId="77777777" w:rsidTr="00352DE3">
        <w:trPr>
          <w:trHeight w:val="289"/>
        </w:trPr>
        <w:tc>
          <w:tcPr>
            <w:tcW w:w="2610" w:type="dxa"/>
            <w:shd w:val="clear" w:color="auto" w:fill="D9E2F3" w:themeFill="accent1" w:themeFillTint="33"/>
            <w:noWrap/>
            <w:hideMark/>
          </w:tcPr>
          <w:p w14:paraId="318D6365" w14:textId="2774A3A0" w:rsidR="00C36950" w:rsidRPr="004304C8" w:rsidRDefault="00BE2D81" w:rsidP="00352DE3">
            <w:pPr>
              <w:spacing w:before="60" w:after="6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Principal </w:t>
            </w:r>
            <w:r w:rsidR="00C36950" w:rsidRPr="004304C8">
              <w:rPr>
                <w:rFonts w:ascii="Arial" w:eastAsia="Times New Roman" w:hAnsi="Arial" w:cs="Arial"/>
                <w:color w:val="000000" w:themeColor="text1"/>
                <w:sz w:val="20"/>
                <w:szCs w:val="20"/>
              </w:rPr>
              <w:t>Amount</w:t>
            </w:r>
          </w:p>
        </w:tc>
        <w:tc>
          <w:tcPr>
            <w:tcW w:w="6750" w:type="dxa"/>
          </w:tcPr>
          <w:p w14:paraId="182AE645" w14:textId="3C894452" w:rsidR="00C36950" w:rsidRPr="004365B0" w:rsidRDefault="001F3643" w:rsidP="00352DE3">
            <w:pPr>
              <w:spacing w:before="60" w:after="60"/>
              <w:rPr>
                <w:rFonts w:ascii="Arial" w:eastAsia="Yu Mincho" w:hAnsi="Arial" w:cs="Arial"/>
                <w:color w:val="000000" w:themeColor="text1"/>
                <w:sz w:val="20"/>
                <w:szCs w:val="20"/>
                <w:lang w:eastAsia="ja-JP"/>
              </w:rPr>
            </w:pPr>
            <w:r>
              <w:rPr>
                <w:rFonts w:ascii="Arial" w:eastAsia="Yu Mincho" w:hAnsi="Arial" w:cs="Arial"/>
                <w:color w:val="000000" w:themeColor="text1"/>
                <w:sz w:val="20"/>
                <w:szCs w:val="20"/>
                <w:lang w:eastAsia="ja-JP"/>
              </w:rPr>
              <w:t>USD xxx</w:t>
            </w:r>
          </w:p>
        </w:tc>
      </w:tr>
      <w:tr w:rsidR="001F3643" w:rsidRPr="004304C8" w14:paraId="2B99F78C" w14:textId="77777777" w:rsidTr="00352DE3">
        <w:trPr>
          <w:trHeight w:val="289"/>
        </w:trPr>
        <w:tc>
          <w:tcPr>
            <w:tcW w:w="2610" w:type="dxa"/>
            <w:shd w:val="clear" w:color="auto" w:fill="D9E2F3" w:themeFill="accent1" w:themeFillTint="33"/>
            <w:noWrap/>
          </w:tcPr>
          <w:p w14:paraId="6F9E7528" w14:textId="0D17902A" w:rsidR="001F3643" w:rsidRPr="00506B56" w:rsidRDefault="001F3643" w:rsidP="001F3643">
            <w:pPr>
              <w:spacing w:before="60" w:after="6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Reoffer Spread</w:t>
            </w:r>
          </w:p>
        </w:tc>
        <w:tc>
          <w:tcPr>
            <w:tcW w:w="6750" w:type="dxa"/>
          </w:tcPr>
          <w:p w14:paraId="2D0172B3" w14:textId="3055D1D9" w:rsidR="001F3643" w:rsidRPr="00986504" w:rsidRDefault="001F3643" w:rsidP="001F3643">
            <w:pPr>
              <w:spacing w:before="60" w:after="60"/>
              <w:rPr>
                <w:rFonts w:ascii="Arial" w:eastAsia="Yu Mincho" w:hAnsi="Arial" w:cs="Arial"/>
                <w:color w:val="000000" w:themeColor="text1"/>
                <w:sz w:val="20"/>
                <w:szCs w:val="20"/>
                <w:lang w:eastAsia="ja-JP"/>
              </w:rPr>
            </w:pPr>
            <w:r>
              <w:rPr>
                <w:rFonts w:ascii="Arial" w:eastAsia="Times New Roman" w:hAnsi="Arial" w:cs="Arial"/>
                <w:color w:val="000000" w:themeColor="text1"/>
                <w:sz w:val="20"/>
                <w:szCs w:val="20"/>
              </w:rPr>
              <w:t>[+</w:t>
            </w:r>
            <w:r w:rsidR="00150444">
              <w:rPr>
                <w:rFonts w:ascii="Arial" w:eastAsia="Times New Roman" w:hAnsi="Arial" w:cs="Arial"/>
                <w:color w:val="000000" w:themeColor="text1"/>
                <w:sz w:val="20"/>
                <w:szCs w:val="20"/>
              </w:rPr>
              <w:t>xx</w:t>
            </w:r>
            <w:r>
              <w:rPr>
                <w:rFonts w:ascii="Arial" w:eastAsia="Times New Roman" w:hAnsi="Arial" w:cs="Arial"/>
                <w:color w:val="000000" w:themeColor="text1"/>
                <w:sz w:val="20"/>
                <w:szCs w:val="20"/>
              </w:rPr>
              <w:t>]</w:t>
            </w:r>
          </w:p>
        </w:tc>
      </w:tr>
      <w:tr w:rsidR="00986504" w:rsidRPr="004304C8" w14:paraId="311FEB44" w14:textId="77777777" w:rsidTr="00352DE3">
        <w:trPr>
          <w:trHeight w:val="289"/>
        </w:trPr>
        <w:tc>
          <w:tcPr>
            <w:tcW w:w="2610" w:type="dxa"/>
            <w:shd w:val="clear" w:color="auto" w:fill="D9E2F3" w:themeFill="accent1" w:themeFillTint="33"/>
            <w:noWrap/>
          </w:tcPr>
          <w:p w14:paraId="3B4C6AA9" w14:textId="63A6EABE" w:rsidR="00986504" w:rsidRPr="004304C8" w:rsidRDefault="00986504" w:rsidP="00986504">
            <w:pPr>
              <w:spacing w:before="60" w:after="60"/>
              <w:rPr>
                <w:rFonts w:ascii="Arial" w:eastAsia="Times New Roman" w:hAnsi="Arial" w:cs="Arial"/>
                <w:color w:val="000000" w:themeColor="text1"/>
                <w:sz w:val="20"/>
                <w:szCs w:val="20"/>
              </w:rPr>
            </w:pPr>
            <w:r>
              <w:rPr>
                <w:rFonts w:ascii="Arial" w:hAnsi="Arial" w:cs="Arial" w:hint="eastAsia"/>
                <w:color w:val="000000" w:themeColor="text1"/>
                <w:sz w:val="20"/>
                <w:szCs w:val="20"/>
                <w:lang w:eastAsia="ja-JP"/>
              </w:rPr>
              <w:t>Reoffer</w:t>
            </w:r>
            <w:r w:rsidRPr="003032B4">
              <w:rPr>
                <w:rFonts w:ascii="Arial" w:eastAsia="Times New Roman" w:hAnsi="Arial" w:cs="Arial"/>
                <w:color w:val="000000" w:themeColor="text1"/>
                <w:sz w:val="20"/>
                <w:szCs w:val="20"/>
              </w:rPr>
              <w:t xml:space="preserve"> Price</w:t>
            </w:r>
            <w:r>
              <w:rPr>
                <w:rFonts w:ascii="Arial" w:eastAsia="Yu Mincho" w:hAnsi="Arial" w:cs="Arial" w:hint="eastAsia"/>
                <w:color w:val="000000" w:themeColor="text1"/>
                <w:sz w:val="20"/>
                <w:szCs w:val="20"/>
                <w:lang w:eastAsia="ja-JP"/>
              </w:rPr>
              <w:t xml:space="preserve"> </w:t>
            </w:r>
          </w:p>
        </w:tc>
        <w:tc>
          <w:tcPr>
            <w:tcW w:w="6750" w:type="dxa"/>
          </w:tcPr>
          <w:p w14:paraId="7DA4AA23" w14:textId="77777777" w:rsidR="00986504" w:rsidRPr="004304C8" w:rsidRDefault="00986504" w:rsidP="00986504">
            <w:pPr>
              <w:spacing w:before="60" w:after="60"/>
              <w:rPr>
                <w:rFonts w:ascii="Arial" w:eastAsia="Times New Roman" w:hAnsi="Arial" w:cs="Arial"/>
                <w:color w:val="000000" w:themeColor="text1"/>
                <w:sz w:val="20"/>
                <w:szCs w:val="20"/>
              </w:rPr>
            </w:pPr>
          </w:p>
        </w:tc>
      </w:tr>
      <w:tr w:rsidR="00986504" w:rsidRPr="004304C8" w14:paraId="3ABC94EF" w14:textId="77777777" w:rsidTr="00352DE3">
        <w:trPr>
          <w:trHeight w:val="289"/>
        </w:trPr>
        <w:tc>
          <w:tcPr>
            <w:tcW w:w="2610" w:type="dxa"/>
            <w:shd w:val="clear" w:color="auto" w:fill="D9E2F3" w:themeFill="accent1" w:themeFillTint="33"/>
            <w:noWrap/>
          </w:tcPr>
          <w:p w14:paraId="4690991A" w14:textId="77777777" w:rsidR="00986504" w:rsidRPr="004365B0" w:rsidRDefault="00986504" w:rsidP="00986504">
            <w:pPr>
              <w:spacing w:before="60" w:after="60"/>
              <w:rPr>
                <w:rFonts w:ascii="Arial" w:eastAsia="Yu Mincho" w:hAnsi="Arial" w:cs="Arial"/>
                <w:color w:val="000000" w:themeColor="text1"/>
                <w:sz w:val="20"/>
                <w:szCs w:val="20"/>
                <w:lang w:eastAsia="ja-JP"/>
              </w:rPr>
            </w:pPr>
            <w:r w:rsidRPr="004304C8">
              <w:rPr>
                <w:rFonts w:ascii="Arial" w:eastAsia="Times New Roman" w:hAnsi="Arial" w:cs="Arial"/>
                <w:color w:val="000000" w:themeColor="text1"/>
                <w:sz w:val="20"/>
                <w:szCs w:val="20"/>
              </w:rPr>
              <w:t>Fee</w:t>
            </w:r>
          </w:p>
        </w:tc>
        <w:sdt>
          <w:sdtPr>
            <w:rPr>
              <w:rFonts w:ascii="Arial" w:eastAsia="Times New Roman" w:hAnsi="Arial" w:cs="Arial"/>
              <w:color w:val="000000" w:themeColor="text1"/>
              <w:sz w:val="20"/>
              <w:szCs w:val="20"/>
            </w:rPr>
            <w:id w:val="-1074198392"/>
            <w:placeholder>
              <w:docPart w:val="E1BCBB3DDC7B477EAA7B7B332AE66FFD"/>
            </w:placeholder>
            <w:comboBox>
              <w:listItem w:value="Choose an item."/>
              <w:listItem w:displayText="N/A" w:value="N/A"/>
            </w:comboBox>
          </w:sdtPr>
          <w:sdtContent>
            <w:tc>
              <w:tcPr>
                <w:tcW w:w="6750" w:type="dxa"/>
              </w:tcPr>
              <w:p w14:paraId="344E4BBE" w14:textId="718C3673" w:rsidR="00986504" w:rsidRPr="004304C8" w:rsidRDefault="00150444" w:rsidP="00986504">
                <w:pPr>
                  <w:spacing w:before="60" w:after="6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N/A</w:t>
                </w:r>
              </w:p>
            </w:tc>
          </w:sdtContent>
        </w:sdt>
      </w:tr>
      <w:tr w:rsidR="00986504" w:rsidRPr="004304C8" w14:paraId="1156CF53" w14:textId="77777777" w:rsidTr="00352DE3">
        <w:trPr>
          <w:trHeight w:val="289"/>
        </w:trPr>
        <w:tc>
          <w:tcPr>
            <w:tcW w:w="2610" w:type="dxa"/>
            <w:shd w:val="clear" w:color="auto" w:fill="D9E2F3" w:themeFill="accent1" w:themeFillTint="33"/>
            <w:noWrap/>
          </w:tcPr>
          <w:p w14:paraId="0A1E4C63" w14:textId="5E2F7A31" w:rsidR="00986504" w:rsidRPr="004365B0" w:rsidRDefault="00986504" w:rsidP="00986504">
            <w:pPr>
              <w:spacing w:before="60" w:after="60"/>
              <w:rPr>
                <w:rFonts w:ascii="Arial" w:eastAsia="Yu Mincho" w:hAnsi="Arial" w:cs="Arial"/>
                <w:color w:val="000000" w:themeColor="text1"/>
                <w:sz w:val="20"/>
                <w:szCs w:val="20"/>
                <w:lang w:eastAsia="ja-JP"/>
              </w:rPr>
            </w:pPr>
            <w:r w:rsidRPr="004304C8">
              <w:rPr>
                <w:rFonts w:ascii="Arial" w:eastAsia="Times New Roman" w:hAnsi="Arial" w:cs="Arial"/>
                <w:color w:val="000000" w:themeColor="text1"/>
                <w:sz w:val="20"/>
                <w:szCs w:val="20"/>
              </w:rPr>
              <w:t>All-In Price</w:t>
            </w:r>
          </w:p>
        </w:tc>
        <w:tc>
          <w:tcPr>
            <w:tcW w:w="6750" w:type="dxa"/>
          </w:tcPr>
          <w:p w14:paraId="4765395F" w14:textId="77777777" w:rsidR="00986504" w:rsidRPr="004304C8" w:rsidRDefault="00986504" w:rsidP="00986504">
            <w:pPr>
              <w:spacing w:before="60" w:after="60"/>
              <w:rPr>
                <w:rFonts w:ascii="Arial" w:eastAsia="Times New Roman" w:hAnsi="Arial" w:cs="Arial"/>
                <w:color w:val="000000" w:themeColor="text1"/>
                <w:sz w:val="20"/>
                <w:szCs w:val="20"/>
              </w:rPr>
            </w:pPr>
          </w:p>
        </w:tc>
      </w:tr>
      <w:tr w:rsidR="00986504" w:rsidRPr="004304C8" w14:paraId="11887FCD" w14:textId="77777777" w:rsidTr="00B749AE">
        <w:trPr>
          <w:trHeight w:val="289"/>
        </w:trPr>
        <w:tc>
          <w:tcPr>
            <w:tcW w:w="2610" w:type="dxa"/>
            <w:shd w:val="clear" w:color="auto" w:fill="D9E2F3" w:themeFill="accent1" w:themeFillTint="33"/>
            <w:noWrap/>
          </w:tcPr>
          <w:p w14:paraId="0621AA21" w14:textId="6E4CC437" w:rsidR="00986504" w:rsidRPr="004304C8" w:rsidRDefault="00986504" w:rsidP="0098650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Net Proceeds</w:t>
            </w:r>
          </w:p>
        </w:tc>
        <w:tc>
          <w:tcPr>
            <w:tcW w:w="6750" w:type="dxa"/>
          </w:tcPr>
          <w:p w14:paraId="548871F4" w14:textId="657ECA36" w:rsidR="00986504" w:rsidRPr="004304C8" w:rsidRDefault="001F3643" w:rsidP="00986504">
            <w:pPr>
              <w:spacing w:before="60" w:after="6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USD xxx</w:t>
            </w:r>
          </w:p>
        </w:tc>
      </w:tr>
      <w:tr w:rsidR="00986504" w:rsidRPr="004304C8" w14:paraId="1425AB19" w14:textId="77777777" w:rsidTr="00352DE3">
        <w:trPr>
          <w:trHeight w:val="289"/>
        </w:trPr>
        <w:tc>
          <w:tcPr>
            <w:tcW w:w="2610" w:type="dxa"/>
            <w:shd w:val="clear" w:color="auto" w:fill="D9E2F3" w:themeFill="accent1" w:themeFillTint="33"/>
            <w:noWrap/>
          </w:tcPr>
          <w:p w14:paraId="009BC6B5" w14:textId="74C2CDEE" w:rsidR="00986504" w:rsidRPr="004304C8" w:rsidRDefault="00986504" w:rsidP="0098650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Redemption Amount</w:t>
            </w:r>
          </w:p>
        </w:tc>
        <w:tc>
          <w:tcPr>
            <w:tcW w:w="6750" w:type="dxa"/>
          </w:tcPr>
          <w:p w14:paraId="7322ABCC" w14:textId="37953299" w:rsidR="00986504" w:rsidRPr="004304C8" w:rsidRDefault="00986504" w:rsidP="00986504">
            <w:pPr>
              <w:spacing w:before="60" w:after="60"/>
              <w:rPr>
                <w:rFonts w:ascii="Arial" w:eastAsia="Times New Roman" w:hAnsi="Arial" w:cs="Arial"/>
                <w:color w:val="000000" w:themeColor="text1"/>
                <w:sz w:val="20"/>
                <w:szCs w:val="20"/>
              </w:rPr>
            </w:pPr>
            <w:r w:rsidRPr="00352DE3">
              <w:rPr>
                <w:rFonts w:ascii="Arial" w:hAnsi="Arial"/>
                <w:color w:val="000000" w:themeColor="text1"/>
                <w:sz w:val="20"/>
              </w:rPr>
              <w:t xml:space="preserve">100% of the </w:t>
            </w:r>
            <w:r w:rsidRPr="004304C8">
              <w:rPr>
                <w:rFonts w:ascii="Arial" w:hAnsi="Arial"/>
                <w:color w:val="000000" w:themeColor="text1"/>
                <w:sz w:val="20"/>
              </w:rPr>
              <w:t xml:space="preserve">Principal </w:t>
            </w:r>
            <w:r w:rsidRPr="00352DE3">
              <w:rPr>
                <w:rFonts w:ascii="Arial" w:hAnsi="Arial"/>
                <w:color w:val="000000" w:themeColor="text1"/>
                <w:sz w:val="20"/>
              </w:rPr>
              <w:t>Amount</w:t>
            </w:r>
          </w:p>
        </w:tc>
      </w:tr>
      <w:tr w:rsidR="00986504" w:rsidRPr="004304C8" w14:paraId="2E479A98" w14:textId="77777777" w:rsidTr="00352DE3">
        <w:trPr>
          <w:trHeight w:val="50"/>
        </w:trPr>
        <w:tc>
          <w:tcPr>
            <w:tcW w:w="2610" w:type="dxa"/>
            <w:shd w:val="clear" w:color="auto" w:fill="D9E2F3" w:themeFill="accent1" w:themeFillTint="33"/>
            <w:noWrap/>
          </w:tcPr>
          <w:p w14:paraId="6A5380D1" w14:textId="77777777" w:rsidR="00986504" w:rsidRPr="004304C8" w:rsidRDefault="00986504" w:rsidP="0098650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Specified Denomination</w:t>
            </w:r>
          </w:p>
        </w:tc>
        <w:tc>
          <w:tcPr>
            <w:tcW w:w="6750" w:type="dxa"/>
          </w:tcPr>
          <w:p w14:paraId="2081CAA3" w14:textId="08A12F92" w:rsidR="00986504" w:rsidRPr="004304C8" w:rsidRDefault="003E4047" w:rsidP="00986504">
            <w:pPr>
              <w:spacing w:before="60" w:after="6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USD 1,000</w:t>
            </w:r>
          </w:p>
        </w:tc>
      </w:tr>
      <w:tr w:rsidR="00986504" w:rsidRPr="004304C8" w14:paraId="5A04C062" w14:textId="77777777" w:rsidTr="00352DE3">
        <w:trPr>
          <w:trHeight w:val="289"/>
        </w:trPr>
        <w:tc>
          <w:tcPr>
            <w:tcW w:w="2610" w:type="dxa"/>
            <w:shd w:val="clear" w:color="auto" w:fill="D9E2F3" w:themeFill="accent1" w:themeFillTint="33"/>
            <w:noWrap/>
          </w:tcPr>
          <w:p w14:paraId="0FF7C9CD" w14:textId="7146A915" w:rsidR="00986504" w:rsidRPr="004304C8" w:rsidRDefault="00986504" w:rsidP="0098650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Number of Specified Denominations</w:t>
            </w:r>
          </w:p>
        </w:tc>
        <w:tc>
          <w:tcPr>
            <w:tcW w:w="6750" w:type="dxa"/>
          </w:tcPr>
          <w:p w14:paraId="3005651C" w14:textId="6F93D347" w:rsidR="00986504" w:rsidRPr="004304C8" w:rsidRDefault="00986504" w:rsidP="0098650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A1446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t>Principal Amount/Specified Denomination]</w:t>
            </w:r>
          </w:p>
        </w:tc>
      </w:tr>
      <w:tr w:rsidR="00986504" w:rsidRPr="004304C8" w14:paraId="09935CBE" w14:textId="1D4B4098" w:rsidTr="00352DE3">
        <w:trPr>
          <w:trHeight w:val="289"/>
        </w:trPr>
        <w:tc>
          <w:tcPr>
            <w:tcW w:w="2610" w:type="dxa"/>
            <w:shd w:val="clear" w:color="auto" w:fill="D9E2F3" w:themeFill="accent1" w:themeFillTint="33"/>
            <w:noWrap/>
          </w:tcPr>
          <w:p w14:paraId="75C7B5B8" w14:textId="14FFD003" w:rsidR="00986504" w:rsidRPr="004304C8" w:rsidRDefault="00986504" w:rsidP="0098650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Trade Date</w:t>
            </w:r>
          </w:p>
        </w:tc>
        <w:tc>
          <w:tcPr>
            <w:tcW w:w="6750" w:type="dxa"/>
          </w:tcPr>
          <w:p w14:paraId="6AF9DA3D" w14:textId="06440A7D" w:rsidR="00986504" w:rsidRPr="004304C8" w:rsidRDefault="00986504" w:rsidP="00986504">
            <w:pPr>
              <w:spacing w:before="60" w:after="60"/>
              <w:rPr>
                <w:rFonts w:ascii="Arial" w:eastAsia="Times New Roman" w:hAnsi="Arial" w:cs="Arial"/>
                <w:color w:val="000000" w:themeColor="text1"/>
                <w:sz w:val="20"/>
                <w:szCs w:val="20"/>
              </w:rPr>
            </w:pPr>
          </w:p>
        </w:tc>
      </w:tr>
      <w:tr w:rsidR="00986504" w:rsidRPr="004304C8" w14:paraId="10CD373C" w14:textId="77777777" w:rsidTr="00B749AE">
        <w:trPr>
          <w:trHeight w:val="289"/>
        </w:trPr>
        <w:tc>
          <w:tcPr>
            <w:tcW w:w="2610" w:type="dxa"/>
            <w:shd w:val="clear" w:color="auto" w:fill="D9E2F3" w:themeFill="accent1" w:themeFillTint="33"/>
            <w:noWrap/>
          </w:tcPr>
          <w:p w14:paraId="65DFD867" w14:textId="5939375B" w:rsidR="00986504" w:rsidRPr="004304C8" w:rsidRDefault="00986504" w:rsidP="0098650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Time of Execution</w:t>
            </w:r>
          </w:p>
        </w:tc>
        <w:tc>
          <w:tcPr>
            <w:tcW w:w="6750" w:type="dxa"/>
          </w:tcPr>
          <w:p w14:paraId="577DD124" w14:textId="77777777" w:rsidR="00986504" w:rsidRPr="00F67405" w:rsidRDefault="00986504" w:rsidP="00986504">
            <w:pPr>
              <w:spacing w:before="60" w:after="60"/>
              <w:rPr>
                <w:rStyle w:val="PlaceholderText"/>
                <w:rFonts w:ascii="Arial" w:hAnsi="Arial"/>
                <w:color w:val="000000" w:themeColor="text1"/>
                <w:sz w:val="20"/>
              </w:rPr>
            </w:pPr>
          </w:p>
        </w:tc>
      </w:tr>
      <w:tr w:rsidR="00986504" w:rsidRPr="004304C8" w14:paraId="36B37BDA" w14:textId="77777777" w:rsidTr="00352DE3">
        <w:trPr>
          <w:trHeight w:val="289"/>
        </w:trPr>
        <w:tc>
          <w:tcPr>
            <w:tcW w:w="2610" w:type="dxa"/>
            <w:shd w:val="clear" w:color="auto" w:fill="D9E2F3" w:themeFill="accent1" w:themeFillTint="33"/>
            <w:noWrap/>
          </w:tcPr>
          <w:p w14:paraId="79841C5A" w14:textId="475E33F3" w:rsidR="00986504" w:rsidRPr="004304C8" w:rsidRDefault="00986504" w:rsidP="0098650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 Date</w:t>
            </w:r>
            <w:r w:rsidRPr="004304C8">
              <w:rPr>
                <w:rStyle w:val="FootnoteReference"/>
                <w:rFonts w:ascii="Arial" w:eastAsia="Times New Roman" w:hAnsi="Arial" w:cs="Arial"/>
                <w:color w:val="000000" w:themeColor="text1"/>
                <w:sz w:val="20"/>
                <w:szCs w:val="20"/>
              </w:rPr>
              <w:footnoteReference w:id="2"/>
            </w:r>
          </w:p>
        </w:tc>
        <w:tc>
          <w:tcPr>
            <w:tcW w:w="6750" w:type="dxa"/>
          </w:tcPr>
          <w:p w14:paraId="5C40A2D4" w14:textId="6BDB92B1" w:rsidR="00986504" w:rsidRPr="004304C8" w:rsidRDefault="000D18FC" w:rsidP="00986504">
            <w:pPr>
              <w:spacing w:before="60" w:after="6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w:t>
            </w:r>
            <w:r w:rsidR="00150444">
              <w:rPr>
                <w:rFonts w:ascii="Arial" w:eastAsia="Times New Roman" w:hAnsi="Arial" w:cs="Arial"/>
                <w:color w:val="000000" w:themeColor="text1"/>
                <w:sz w:val="20"/>
                <w:szCs w:val="20"/>
              </w:rPr>
              <w:t xml:space="preserve">  </w:t>
            </w:r>
            <w:r w:rsidR="00473BDD">
              <w:rPr>
                <w:rFonts w:ascii="Arial" w:eastAsia="Times New Roman" w:hAnsi="Arial" w:cs="Arial"/>
                <w:color w:val="000000" w:themeColor="text1"/>
                <w:sz w:val="20"/>
                <w:szCs w:val="20"/>
              </w:rPr>
              <w:t>]</w:t>
            </w:r>
          </w:p>
        </w:tc>
      </w:tr>
      <w:tr w:rsidR="00986504" w:rsidRPr="004304C8" w14:paraId="46D52092" w14:textId="77777777" w:rsidTr="00352DE3">
        <w:trPr>
          <w:trHeight w:val="289"/>
        </w:trPr>
        <w:tc>
          <w:tcPr>
            <w:tcW w:w="2610" w:type="dxa"/>
            <w:shd w:val="clear" w:color="auto" w:fill="D9E2F3" w:themeFill="accent1" w:themeFillTint="33"/>
            <w:noWrap/>
          </w:tcPr>
          <w:p w14:paraId="3ED6A15A" w14:textId="088A24BC" w:rsidR="00986504" w:rsidRPr="004304C8" w:rsidRDefault="00986504" w:rsidP="0098650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Maturity Date</w:t>
            </w:r>
          </w:p>
        </w:tc>
        <w:tc>
          <w:tcPr>
            <w:tcW w:w="6750" w:type="dxa"/>
          </w:tcPr>
          <w:p w14:paraId="4AF8D376" w14:textId="0002B65E" w:rsidR="00986504" w:rsidRPr="004365B0" w:rsidRDefault="00A14468" w:rsidP="00986504">
            <w:pPr>
              <w:spacing w:before="60" w:after="60"/>
              <w:rPr>
                <w:rFonts w:ascii="Arial" w:eastAsia="Yu Mincho" w:hAnsi="Arial" w:cs="Arial"/>
                <w:color w:val="000000" w:themeColor="text1"/>
                <w:sz w:val="20"/>
                <w:szCs w:val="20"/>
                <w:lang w:eastAsia="ja-JP"/>
              </w:rPr>
            </w:pPr>
            <w:r>
              <w:rPr>
                <w:rFonts w:ascii="Arial" w:eastAsia="Yu Mincho" w:hAnsi="Arial" w:cs="Arial"/>
                <w:color w:val="000000" w:themeColor="text1"/>
                <w:sz w:val="20"/>
                <w:szCs w:val="20"/>
                <w:lang w:eastAsia="ja-JP"/>
              </w:rPr>
              <w:t>[</w:t>
            </w:r>
            <w:r w:rsidR="00150444">
              <w:rPr>
                <w:rFonts w:ascii="Arial" w:eastAsia="Yu Mincho" w:hAnsi="Arial" w:cs="Arial"/>
                <w:color w:val="000000" w:themeColor="text1"/>
                <w:sz w:val="20"/>
                <w:szCs w:val="20"/>
                <w:lang w:eastAsia="ja-JP"/>
              </w:rPr>
              <w:t xml:space="preserve">  </w:t>
            </w:r>
            <w:r>
              <w:rPr>
                <w:rFonts w:ascii="Arial" w:eastAsia="Yu Mincho" w:hAnsi="Arial" w:cs="Arial"/>
                <w:color w:val="000000" w:themeColor="text1"/>
                <w:sz w:val="20"/>
                <w:szCs w:val="20"/>
                <w:lang w:eastAsia="ja-JP"/>
              </w:rPr>
              <w:t xml:space="preserve">] </w:t>
            </w:r>
          </w:p>
        </w:tc>
      </w:tr>
      <w:tr w:rsidR="00986504" w:rsidRPr="004304C8" w14:paraId="36F23DF3" w14:textId="77777777" w:rsidTr="00352DE3">
        <w:trPr>
          <w:trHeight w:val="62"/>
        </w:trPr>
        <w:tc>
          <w:tcPr>
            <w:tcW w:w="9360" w:type="dxa"/>
            <w:gridSpan w:val="2"/>
            <w:shd w:val="clear" w:color="auto" w:fill="D5DCE4" w:themeFill="text2" w:themeFillTint="33"/>
            <w:noWrap/>
            <w:vAlign w:val="center"/>
          </w:tcPr>
          <w:p w14:paraId="273853C4" w14:textId="7036D9B4" w:rsidR="00986504" w:rsidRPr="004304C8" w:rsidRDefault="00986504" w:rsidP="00986504">
            <w:pPr>
              <w:spacing w:before="60" w:after="60"/>
              <w:jc w:val="center"/>
              <w:rPr>
                <w:rFonts w:ascii="Arial" w:eastAsia="Times New Roman" w:hAnsi="Arial" w:cs="Arial"/>
                <w:b/>
                <w:bCs/>
                <w:color w:val="000000" w:themeColor="text1"/>
                <w:sz w:val="20"/>
                <w:szCs w:val="20"/>
              </w:rPr>
            </w:pPr>
            <w:bookmarkStart w:id="1" w:name="_Hlk43830787"/>
            <w:r w:rsidRPr="004304C8">
              <w:rPr>
                <w:rFonts w:ascii="Arial" w:eastAsia="Times New Roman" w:hAnsi="Arial" w:cs="Arial"/>
                <w:b/>
                <w:bCs/>
                <w:color w:val="000000" w:themeColor="text1"/>
                <w:sz w:val="20"/>
                <w:szCs w:val="20"/>
              </w:rPr>
              <w:t>PROVISIONS RELATING TO INTEREST</w:t>
            </w:r>
          </w:p>
        </w:tc>
      </w:tr>
      <w:bookmarkEnd w:id="1"/>
      <w:tr w:rsidR="00986504" w:rsidRPr="004304C8" w14:paraId="749B7E16" w14:textId="77777777" w:rsidTr="00352DE3">
        <w:trPr>
          <w:trHeight w:val="289"/>
        </w:trPr>
        <w:tc>
          <w:tcPr>
            <w:tcW w:w="2610" w:type="dxa"/>
            <w:shd w:val="clear" w:color="auto" w:fill="D9E2F3" w:themeFill="accent1" w:themeFillTint="33"/>
            <w:noWrap/>
          </w:tcPr>
          <w:p w14:paraId="3E442AE2" w14:textId="7D8A93F2" w:rsidR="00986504" w:rsidRPr="004304C8" w:rsidRDefault="00986504" w:rsidP="0098650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Interest Rate</w:t>
            </w:r>
          </w:p>
        </w:tc>
        <w:tc>
          <w:tcPr>
            <w:tcW w:w="6750" w:type="dxa"/>
          </w:tcPr>
          <w:p w14:paraId="5F0F6880" w14:textId="77777777" w:rsidR="00986504" w:rsidRDefault="00986504" w:rsidP="00986504">
            <w:pPr>
              <w:spacing w:after="80"/>
              <w:jc w:val="both"/>
              <w:rPr>
                <w:rFonts w:ascii="Arial" w:hAnsi="Arial" w:cs="Arial"/>
                <w:color w:val="000000" w:themeColor="text1"/>
                <w:sz w:val="20"/>
                <w:szCs w:val="20"/>
                <w:lang w:eastAsia="ja-JP"/>
              </w:rPr>
            </w:pPr>
            <w:r>
              <w:rPr>
                <w:rFonts w:ascii="Arial" w:eastAsia="Times New Roman" w:hAnsi="Arial" w:cs="Arial"/>
                <w:color w:val="000000" w:themeColor="text1"/>
                <w:sz w:val="20"/>
                <w:szCs w:val="20"/>
              </w:rPr>
              <w:t xml:space="preserve">Compounded SOFR plus </w:t>
            </w:r>
            <w:r>
              <w:rPr>
                <w:rFonts w:ascii="Arial" w:hAnsi="Arial" w:cs="Arial"/>
                <w:color w:val="000000" w:themeColor="text1"/>
                <w:sz w:val="20"/>
                <w:szCs w:val="20"/>
                <w:lang w:eastAsia="ja-JP"/>
              </w:rPr>
              <w:t>Margin</w:t>
            </w:r>
          </w:p>
          <w:p w14:paraId="6D28EC82" w14:textId="24816766" w:rsidR="00986504" w:rsidRDefault="00986504" w:rsidP="00986504">
            <w:pPr>
              <w:spacing w:after="80"/>
              <w:jc w:val="both"/>
              <w:rPr>
                <w:rFonts w:ascii="Arial" w:eastAsia="Times New Roman" w:hAnsi="Arial" w:cs="Arial"/>
                <w:color w:val="000000" w:themeColor="text1"/>
                <w:sz w:val="20"/>
                <w:szCs w:val="20"/>
              </w:rPr>
            </w:pPr>
            <w:r>
              <w:rPr>
                <w:rFonts w:ascii="Arial" w:hAnsi="Arial" w:cs="Arial"/>
                <w:color w:val="000000" w:themeColor="text1"/>
                <w:sz w:val="20"/>
                <w:szCs w:val="20"/>
                <w:lang w:eastAsia="ja-JP"/>
              </w:rPr>
              <w:t xml:space="preserve">Margin: Plus </w:t>
            </w:r>
            <w:r w:rsidR="006A2D8E">
              <w:rPr>
                <w:rFonts w:ascii="Arial" w:hAnsi="Arial" w:cs="Arial"/>
                <w:color w:val="000000" w:themeColor="text1"/>
                <w:sz w:val="20"/>
                <w:szCs w:val="20"/>
                <w:lang w:eastAsia="ja-JP"/>
              </w:rPr>
              <w:t>[</w:t>
            </w:r>
            <w:r w:rsidR="0025122E">
              <w:rPr>
                <w:rFonts w:ascii="Arial" w:hAnsi="Arial" w:cs="Arial"/>
                <w:color w:val="000000" w:themeColor="text1"/>
                <w:sz w:val="20"/>
                <w:szCs w:val="20"/>
                <w:lang w:eastAsia="ja-JP"/>
              </w:rPr>
              <w:t xml:space="preserve">  </w:t>
            </w:r>
            <w:r w:rsidR="006A2D8E">
              <w:rPr>
                <w:rFonts w:ascii="Arial" w:hAnsi="Arial" w:cs="Arial"/>
                <w:color w:val="000000" w:themeColor="text1"/>
                <w:sz w:val="20"/>
                <w:szCs w:val="20"/>
                <w:lang w:eastAsia="ja-JP"/>
              </w:rPr>
              <w:t>]</w:t>
            </w:r>
            <w:r>
              <w:rPr>
                <w:rFonts w:ascii="Arial" w:hAnsi="Arial" w:cs="Arial"/>
                <w:color w:val="000000" w:themeColor="text1"/>
                <w:sz w:val="20"/>
                <w:szCs w:val="20"/>
                <w:lang w:eastAsia="ja-JP"/>
              </w:rPr>
              <w:t xml:space="preserve"> basis points</w:t>
            </w:r>
          </w:p>
          <w:p w14:paraId="582DEAF4" w14:textId="26D14E68" w:rsidR="00986504" w:rsidRPr="004365B0" w:rsidRDefault="00986504" w:rsidP="00986504">
            <w:pPr>
              <w:spacing w:before="60" w:after="60"/>
              <w:rPr>
                <w:rFonts w:ascii="Arial" w:eastAsia="Yu Mincho" w:hAnsi="Arial" w:cs="Arial"/>
                <w:color w:val="000000" w:themeColor="text1"/>
                <w:sz w:val="20"/>
                <w:szCs w:val="20"/>
                <w:lang w:eastAsia="ja-JP"/>
              </w:rPr>
            </w:pPr>
            <w:r>
              <w:rPr>
                <w:rFonts w:ascii="Arial" w:eastAsia="Times New Roman" w:hAnsi="Arial" w:cs="Arial"/>
                <w:color w:val="000000" w:themeColor="text1"/>
                <w:sz w:val="20"/>
                <w:szCs w:val="20"/>
              </w:rPr>
              <w:t>Minimum Interest Amount: 0% per annum</w:t>
            </w:r>
          </w:p>
        </w:tc>
      </w:tr>
      <w:tr w:rsidR="00986504" w:rsidRPr="004304C8" w14:paraId="6C4D6C72" w14:textId="20555019" w:rsidTr="00352DE3">
        <w:trPr>
          <w:trHeight w:val="289"/>
        </w:trPr>
        <w:tc>
          <w:tcPr>
            <w:tcW w:w="2610" w:type="dxa"/>
            <w:shd w:val="clear" w:color="auto" w:fill="D9E2F3" w:themeFill="accent1" w:themeFillTint="33"/>
            <w:noWrap/>
          </w:tcPr>
          <w:p w14:paraId="00F25918" w14:textId="241879D7" w:rsidR="00986504" w:rsidRPr="004304C8" w:rsidRDefault="00986504" w:rsidP="00986504">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Interest Amount</w:t>
            </w:r>
          </w:p>
        </w:tc>
        <w:tc>
          <w:tcPr>
            <w:tcW w:w="6750" w:type="dxa"/>
          </w:tcPr>
          <w:p w14:paraId="39C0F316" w14:textId="77777777" w:rsidR="003D2B18" w:rsidRPr="00F91DEE" w:rsidRDefault="003D2B18" w:rsidP="003D2B18">
            <w:pPr>
              <w:spacing w:after="80"/>
              <w:jc w:val="both"/>
              <w:rPr>
                <w:rFonts w:ascii="Arial" w:eastAsia="Times New Roman" w:hAnsi="Arial" w:cs="Arial"/>
                <w:b/>
                <w:bCs/>
                <w:color w:val="000000" w:themeColor="text1"/>
                <w:sz w:val="20"/>
                <w:szCs w:val="20"/>
              </w:rPr>
            </w:pPr>
            <w:r w:rsidRPr="00F91DEE">
              <w:rPr>
                <w:rFonts w:ascii="Arial" w:eastAsia="Times New Roman" w:hAnsi="Arial" w:cs="Arial"/>
                <w:b/>
                <w:bCs/>
                <w:color w:val="000000" w:themeColor="text1"/>
                <w:sz w:val="20"/>
                <w:szCs w:val="20"/>
              </w:rPr>
              <w:t>Specified Denomination x Interest Rate x Day Count Fraction</w:t>
            </w:r>
          </w:p>
          <w:p w14:paraId="6C50A16B" w14:textId="3052C6EE" w:rsidR="00CF70E4" w:rsidRPr="00F91DEE" w:rsidRDefault="003D2B18" w:rsidP="00986504">
            <w:pPr>
              <w:spacing w:before="160" w:after="60"/>
              <w:rPr>
                <w:rFonts w:ascii="Arial" w:eastAsia="Times New Roman" w:hAnsi="Arial" w:cs="Arial"/>
                <w:b/>
                <w:bCs/>
                <w:color w:val="000000" w:themeColor="text1"/>
                <w:sz w:val="20"/>
                <w:szCs w:val="20"/>
              </w:rPr>
            </w:pPr>
            <w:r w:rsidRPr="00F91DEE">
              <w:rPr>
                <w:rFonts w:ascii="Arial" w:eastAsia="Times New Roman" w:hAnsi="Arial" w:cs="Arial"/>
                <w:b/>
                <w:bCs/>
                <w:color w:val="000000" w:themeColor="text1"/>
                <w:sz w:val="20"/>
                <w:szCs w:val="20"/>
              </w:rPr>
              <w:lastRenderedPageBreak/>
              <w:t>Rounding, if necessary, the entire resulting figure to the nearest cent, with 0.005 being rounded upwards.</w:t>
            </w:r>
          </w:p>
        </w:tc>
      </w:tr>
      <w:tr w:rsidR="00986504" w:rsidRPr="004304C8" w14:paraId="692E9BF6" w14:textId="77777777" w:rsidTr="00352DE3">
        <w:trPr>
          <w:trHeight w:val="404"/>
        </w:trPr>
        <w:tc>
          <w:tcPr>
            <w:tcW w:w="2610" w:type="dxa"/>
            <w:shd w:val="clear" w:color="auto" w:fill="D9E2F3" w:themeFill="accent1" w:themeFillTint="33"/>
            <w:noWrap/>
          </w:tcPr>
          <w:p w14:paraId="2C89788A" w14:textId="27ED11F0" w:rsidR="00986504" w:rsidRPr="004304C8" w:rsidRDefault="00986504" w:rsidP="0098650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lastRenderedPageBreak/>
              <w:t>Interest Payment Dates</w:t>
            </w:r>
          </w:p>
        </w:tc>
        <w:tc>
          <w:tcPr>
            <w:tcW w:w="6750" w:type="dxa"/>
          </w:tcPr>
          <w:p w14:paraId="30E20034" w14:textId="2AFFF52F" w:rsidR="00986504" w:rsidRPr="004365B0" w:rsidRDefault="001064F3" w:rsidP="00986504">
            <w:pPr>
              <w:spacing w:before="60" w:after="60"/>
              <w:rPr>
                <w:rFonts w:ascii="Arial" w:eastAsia="Yu Mincho" w:hAnsi="Arial" w:cs="Arial"/>
                <w:color w:val="000000" w:themeColor="text1"/>
                <w:sz w:val="20"/>
                <w:szCs w:val="20"/>
                <w:lang w:eastAsia="ja-JP"/>
              </w:rPr>
            </w:pPr>
            <w:r w:rsidRPr="004304C8">
              <w:rPr>
                <w:rFonts w:ascii="Arial" w:eastAsia="Times New Roman" w:hAnsi="Arial" w:cs="Arial"/>
                <w:color w:val="000000" w:themeColor="text1"/>
                <w:sz w:val="20"/>
                <w:szCs w:val="20"/>
              </w:rPr>
              <w:t xml:space="preserve">Quarterly, every </w:t>
            </w:r>
            <w:r w:rsidRPr="004304C8">
              <w:rPr>
                <w:rFonts w:ascii="Wingdings" w:eastAsia="Wingdings" w:hAnsi="Wingdings" w:cs="Wingdings"/>
                <w:color w:val="000000" w:themeColor="text1"/>
                <w:sz w:val="20"/>
                <w:szCs w:val="20"/>
              </w:rPr>
              <w:t>l</w:t>
            </w:r>
            <w:r>
              <w:rPr>
                <w:rFonts w:ascii="Arial" w:eastAsia="Times New Roman" w:hAnsi="Arial" w:cs="Arial"/>
                <w:sz w:val="20"/>
                <w:szCs w:val="20"/>
              </w:rPr>
              <w:t xml:space="preserve">, </w:t>
            </w:r>
            <w:r w:rsidR="0043553E" w:rsidRPr="004304C8">
              <w:rPr>
                <w:rFonts w:ascii="Wingdings" w:eastAsia="Wingdings" w:hAnsi="Wingdings" w:cs="Wingdings"/>
                <w:color w:val="000000" w:themeColor="text1"/>
                <w:sz w:val="20"/>
                <w:szCs w:val="20"/>
              </w:rPr>
              <w:t>l</w:t>
            </w:r>
            <w:r>
              <w:rPr>
                <w:rFonts w:ascii="Arial" w:eastAsia="Times New Roman" w:hAnsi="Arial" w:cs="Arial"/>
                <w:sz w:val="20"/>
                <w:szCs w:val="20"/>
              </w:rPr>
              <w:t xml:space="preserve">, </w:t>
            </w:r>
            <w:r w:rsidR="0043553E" w:rsidRPr="004304C8">
              <w:rPr>
                <w:rFonts w:ascii="Wingdings" w:eastAsia="Wingdings" w:hAnsi="Wingdings" w:cs="Wingdings"/>
                <w:color w:val="000000" w:themeColor="text1"/>
                <w:sz w:val="20"/>
                <w:szCs w:val="20"/>
              </w:rPr>
              <w:t>l</w:t>
            </w:r>
            <w:r w:rsidRPr="00954B9E">
              <w:rPr>
                <w:rFonts w:ascii="Arial" w:eastAsia="Times New Roman" w:hAnsi="Arial" w:cs="Arial"/>
                <w:sz w:val="20"/>
                <w:szCs w:val="20"/>
              </w:rPr>
              <w:t xml:space="preserve"> and </w:t>
            </w:r>
            <w:r w:rsidR="0043553E" w:rsidRPr="004304C8">
              <w:rPr>
                <w:rFonts w:ascii="Wingdings" w:eastAsia="Wingdings" w:hAnsi="Wingdings" w:cs="Wingdings"/>
                <w:color w:val="000000" w:themeColor="text1"/>
                <w:sz w:val="20"/>
                <w:szCs w:val="20"/>
              </w:rPr>
              <w:t>l</w:t>
            </w:r>
            <w:r w:rsidRPr="004304C8">
              <w:rPr>
                <w:rFonts w:ascii="Arial" w:eastAsia="Times New Roman" w:hAnsi="Arial" w:cs="Arial"/>
                <w:color w:val="000000" w:themeColor="text1"/>
                <w:sz w:val="20"/>
                <w:szCs w:val="20"/>
              </w:rPr>
              <w:t xml:space="preserve">, each year </w:t>
            </w:r>
            <w:r w:rsidRPr="001064F3">
              <w:rPr>
                <w:rFonts w:ascii="Arial" w:eastAsia="Times New Roman" w:hAnsi="Arial" w:cs="Arial"/>
                <w:color w:val="000000" w:themeColor="text1"/>
                <w:sz w:val="20"/>
                <w:szCs w:val="20"/>
              </w:rPr>
              <w:t xml:space="preserve">commencing </w:t>
            </w:r>
            <w:r w:rsidRPr="004304C8">
              <w:rPr>
                <w:rFonts w:ascii="Arial" w:eastAsia="Times New Roman" w:hAnsi="Arial" w:cs="Arial"/>
                <w:color w:val="000000" w:themeColor="text1"/>
                <w:sz w:val="20"/>
                <w:szCs w:val="20"/>
              </w:rPr>
              <w:t xml:space="preserve">on </w:t>
            </w:r>
            <w:r w:rsidRPr="004304C8">
              <w:rPr>
                <w:rFonts w:ascii="Wingdings" w:eastAsia="Wingdings" w:hAnsi="Wingdings" w:cs="Wingdings"/>
                <w:color w:val="000000" w:themeColor="text1"/>
                <w:sz w:val="20"/>
                <w:szCs w:val="20"/>
              </w:rPr>
              <w:t>l</w:t>
            </w:r>
            <w:r w:rsidR="00B077A9" w:rsidRPr="00B077A9">
              <w:rPr>
                <w:rFonts w:ascii="Arial" w:eastAsia="Times New Roman" w:hAnsi="Arial" w:cs="Arial"/>
                <w:color w:val="000000" w:themeColor="text1"/>
                <w:sz w:val="20"/>
                <w:szCs w:val="20"/>
              </w:rPr>
              <w:t xml:space="preserve">, and ending </w:t>
            </w:r>
            <w:r w:rsidR="00986504" w:rsidRPr="00B077A9">
              <w:rPr>
                <w:rFonts w:ascii="Arial" w:eastAsia="Times New Roman" w:hAnsi="Arial" w:cs="Arial"/>
                <w:color w:val="000000" w:themeColor="text1"/>
                <w:sz w:val="20"/>
                <w:szCs w:val="20"/>
              </w:rPr>
              <w:t>t</w:t>
            </w:r>
            <w:r w:rsidR="00986504" w:rsidRPr="004304C8">
              <w:rPr>
                <w:rFonts w:ascii="Arial" w:eastAsia="Times New Roman" w:hAnsi="Arial" w:cs="Arial"/>
                <w:color w:val="000000" w:themeColor="text1"/>
                <w:sz w:val="20"/>
                <w:szCs w:val="20"/>
              </w:rPr>
              <w:t>he Maturity Date</w:t>
            </w:r>
            <w:r w:rsidR="00986504" w:rsidRPr="003B5183">
              <w:rPr>
                <w:rFonts w:ascii="Arial" w:eastAsia="Times New Roman" w:hAnsi="Arial" w:cs="Arial"/>
                <w:sz w:val="20"/>
                <w:szCs w:val="20"/>
              </w:rPr>
              <w:t>, subject to the Business Day Convention</w:t>
            </w:r>
          </w:p>
        </w:tc>
      </w:tr>
      <w:tr w:rsidR="00986504" w:rsidRPr="004304C8" w14:paraId="349E17F6" w14:textId="0166635E" w:rsidTr="00352DE3">
        <w:trPr>
          <w:trHeight w:val="289"/>
        </w:trPr>
        <w:tc>
          <w:tcPr>
            <w:tcW w:w="2610" w:type="dxa"/>
            <w:shd w:val="clear" w:color="auto" w:fill="D9E2F3" w:themeFill="accent1" w:themeFillTint="33"/>
            <w:noWrap/>
            <w:hideMark/>
          </w:tcPr>
          <w:p w14:paraId="406D1A7E" w14:textId="52A92385" w:rsidR="00986504" w:rsidRPr="004304C8" w:rsidRDefault="00986504" w:rsidP="0098650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Day Count Fraction</w:t>
            </w:r>
          </w:p>
        </w:tc>
        <w:tc>
          <w:tcPr>
            <w:tcW w:w="6750" w:type="dxa"/>
          </w:tcPr>
          <w:p w14:paraId="4FFEB708" w14:textId="3D76C970" w:rsidR="00986504" w:rsidRPr="00352DE3" w:rsidRDefault="00986504" w:rsidP="00986504">
            <w:pPr>
              <w:spacing w:before="60" w:after="60"/>
              <w:rPr>
                <w:rFonts w:ascii="Arial" w:hAnsi="Arial"/>
                <w:b/>
                <w:color w:val="000000" w:themeColor="text1"/>
                <w:sz w:val="20"/>
              </w:rPr>
            </w:pPr>
            <w:r>
              <w:rPr>
                <w:rFonts w:ascii="Arial" w:eastAsia="Yu Mincho" w:hAnsi="Arial" w:cs="Arial" w:hint="eastAsia"/>
                <w:color w:val="000000" w:themeColor="text1"/>
                <w:sz w:val="20"/>
                <w:szCs w:val="20"/>
                <w:lang w:eastAsia="ja-JP"/>
              </w:rPr>
              <w:t>Act</w:t>
            </w:r>
            <w:r w:rsidRPr="004304C8">
              <w:rPr>
                <w:rFonts w:ascii="Arial" w:eastAsia="Times New Roman" w:hAnsi="Arial" w:cs="Arial"/>
                <w:color w:val="000000" w:themeColor="text1"/>
                <w:sz w:val="20"/>
                <w:szCs w:val="20"/>
              </w:rPr>
              <w:t>/360</w:t>
            </w:r>
          </w:p>
        </w:tc>
      </w:tr>
      <w:tr w:rsidR="00986504" w:rsidRPr="004304C8" w14:paraId="0958BBBF" w14:textId="79C09C59" w:rsidTr="00352DE3">
        <w:trPr>
          <w:trHeight w:val="289"/>
        </w:trPr>
        <w:tc>
          <w:tcPr>
            <w:tcW w:w="2610" w:type="dxa"/>
            <w:shd w:val="clear" w:color="auto" w:fill="D9E2F3" w:themeFill="accent1" w:themeFillTint="33"/>
            <w:noWrap/>
            <w:hideMark/>
          </w:tcPr>
          <w:p w14:paraId="3009F715" w14:textId="3DC49842" w:rsidR="00986504" w:rsidRPr="004304C8" w:rsidRDefault="00986504" w:rsidP="0098650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750" w:type="dxa"/>
          </w:tcPr>
          <w:p w14:paraId="6D3B03F5" w14:textId="43FED5B8" w:rsidR="00986504" w:rsidRPr="004304C8" w:rsidRDefault="00986504" w:rsidP="00986504">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 xml:space="preserve">Modified Following, </w:t>
            </w:r>
            <w:r>
              <w:rPr>
                <w:rFonts w:ascii="Arial" w:eastAsia="Yu Mincho" w:hAnsi="Arial" w:cs="Arial" w:hint="eastAsia"/>
                <w:color w:val="000000" w:themeColor="text1"/>
                <w:sz w:val="20"/>
                <w:szCs w:val="20"/>
                <w:lang w:eastAsia="ja-JP"/>
              </w:rPr>
              <w:t>A</w:t>
            </w:r>
            <w:r w:rsidRPr="004304C8">
              <w:rPr>
                <w:rFonts w:ascii="Arial" w:eastAsia="Times New Roman" w:hAnsi="Arial" w:cs="Arial"/>
                <w:color w:val="000000" w:themeColor="text1"/>
                <w:sz w:val="20"/>
                <w:szCs w:val="20"/>
              </w:rPr>
              <w:t>djusted</w:t>
            </w:r>
          </w:p>
        </w:tc>
      </w:tr>
      <w:tr w:rsidR="00986504" w:rsidRPr="004304C8" w14:paraId="21C760E8" w14:textId="77777777" w:rsidTr="00352DE3">
        <w:trPr>
          <w:trHeight w:val="289"/>
        </w:trPr>
        <w:tc>
          <w:tcPr>
            <w:tcW w:w="2610" w:type="dxa"/>
            <w:shd w:val="clear" w:color="auto" w:fill="D9E2F3" w:themeFill="accent1" w:themeFillTint="33"/>
            <w:noWrap/>
          </w:tcPr>
          <w:p w14:paraId="32D4B2B5" w14:textId="3A11E7E1" w:rsidR="00986504" w:rsidRPr="004304C8" w:rsidRDefault="00986504" w:rsidP="0098650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Business Days</w:t>
            </w:r>
          </w:p>
        </w:tc>
        <w:tc>
          <w:tcPr>
            <w:tcW w:w="6750" w:type="dxa"/>
          </w:tcPr>
          <w:p w14:paraId="24D88732" w14:textId="08F559A5" w:rsidR="00986504" w:rsidRPr="004304C8" w:rsidRDefault="00986504" w:rsidP="0098650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New York</w:t>
            </w:r>
          </w:p>
        </w:tc>
      </w:tr>
      <w:tr w:rsidR="00986504" w:rsidRPr="004304C8" w14:paraId="729FBB57" w14:textId="77777777" w:rsidTr="00352DE3">
        <w:trPr>
          <w:trHeight w:val="289"/>
        </w:trPr>
        <w:tc>
          <w:tcPr>
            <w:tcW w:w="2610" w:type="dxa"/>
            <w:shd w:val="clear" w:color="auto" w:fill="D9E2F3" w:themeFill="accent1" w:themeFillTint="33"/>
            <w:noWrap/>
          </w:tcPr>
          <w:p w14:paraId="6FBB02EC" w14:textId="14C254DD" w:rsidR="00986504" w:rsidRPr="004304C8" w:rsidRDefault="00986504" w:rsidP="00986504">
            <w:pPr>
              <w:spacing w:before="60" w:after="6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Interest Determination Date</w:t>
            </w:r>
          </w:p>
        </w:tc>
        <w:tc>
          <w:tcPr>
            <w:tcW w:w="6750" w:type="dxa"/>
          </w:tcPr>
          <w:p w14:paraId="746C1CF4" w14:textId="571DDE52" w:rsidR="00986504" w:rsidRPr="003032B4" w:rsidDel="00C1233E" w:rsidRDefault="00986504" w:rsidP="00986504">
            <w:pPr>
              <w:spacing w:before="60" w:after="60"/>
              <w:rPr>
                <w:rFonts w:ascii="Arial" w:eastAsia="Times New Roman" w:hAnsi="Arial" w:cs="Arial"/>
                <w:color w:val="000000" w:themeColor="text1"/>
                <w:sz w:val="20"/>
                <w:szCs w:val="20"/>
              </w:rPr>
            </w:pPr>
            <w:r w:rsidRPr="00345693">
              <w:rPr>
                <w:rFonts w:ascii="Arial" w:eastAsia="Times New Roman" w:hAnsi="Arial" w:cs="Arial"/>
                <w:color w:val="000000" w:themeColor="text1"/>
                <w:sz w:val="20"/>
                <w:szCs w:val="20"/>
              </w:rPr>
              <w:t xml:space="preserve">The date </w:t>
            </w:r>
            <w:r w:rsidR="002F4DE2">
              <w:rPr>
                <w:rFonts w:ascii="Arial" w:eastAsia="Times New Roman" w:hAnsi="Arial" w:cs="Arial"/>
                <w:color w:val="000000" w:themeColor="text1"/>
                <w:sz w:val="20"/>
                <w:szCs w:val="20"/>
              </w:rPr>
              <w:t xml:space="preserve">that is </w:t>
            </w:r>
            <w:r w:rsidRPr="00C17340">
              <w:rPr>
                <w:rFonts w:ascii="Arial" w:eastAsia="Times New Roman" w:hAnsi="Arial" w:cs="Arial"/>
                <w:color w:val="000000" w:themeColor="text1"/>
                <w:sz w:val="20"/>
                <w:szCs w:val="20"/>
              </w:rPr>
              <w:t>five U.S.</w:t>
            </w:r>
            <w:r>
              <w:rPr>
                <w:rFonts w:ascii="Arial" w:hAnsi="Arial" w:cs="Arial" w:hint="eastAsia"/>
                <w:color w:val="000000" w:themeColor="text1"/>
                <w:sz w:val="20"/>
                <w:szCs w:val="20"/>
                <w:lang w:eastAsia="ja-JP"/>
              </w:rPr>
              <w:t xml:space="preserve"> </w:t>
            </w:r>
            <w:r w:rsidRPr="00C17340">
              <w:rPr>
                <w:rFonts w:ascii="Arial" w:eastAsia="Times New Roman" w:hAnsi="Arial" w:cs="Arial"/>
                <w:color w:val="000000" w:themeColor="text1"/>
                <w:sz w:val="20"/>
                <w:szCs w:val="20"/>
              </w:rPr>
              <w:t>Government Securities Business Days before each</w:t>
            </w:r>
            <w:r>
              <w:rPr>
                <w:rFonts w:ascii="Arial" w:hAnsi="Arial" w:cs="Arial" w:hint="eastAsia"/>
                <w:color w:val="000000" w:themeColor="text1"/>
                <w:sz w:val="20"/>
                <w:szCs w:val="20"/>
                <w:lang w:eastAsia="ja-JP"/>
              </w:rPr>
              <w:t xml:space="preserve"> </w:t>
            </w:r>
            <w:r w:rsidRPr="00C17340">
              <w:rPr>
                <w:rFonts w:ascii="Arial" w:eastAsia="Times New Roman" w:hAnsi="Arial" w:cs="Arial"/>
                <w:color w:val="000000" w:themeColor="text1"/>
                <w:sz w:val="20"/>
                <w:szCs w:val="20"/>
              </w:rPr>
              <w:t>Specified Interest Payment Date; provided, however, that if</w:t>
            </w:r>
            <w:r>
              <w:rPr>
                <w:rFonts w:ascii="Arial" w:hAnsi="Arial" w:cs="Arial" w:hint="eastAsia"/>
                <w:color w:val="000000" w:themeColor="text1"/>
                <w:sz w:val="20"/>
                <w:szCs w:val="20"/>
                <w:lang w:eastAsia="ja-JP"/>
              </w:rPr>
              <w:t xml:space="preserve"> </w:t>
            </w:r>
            <w:r w:rsidRPr="00C17340">
              <w:rPr>
                <w:rFonts w:ascii="Arial" w:eastAsia="Times New Roman" w:hAnsi="Arial" w:cs="Arial"/>
                <w:color w:val="000000" w:themeColor="text1"/>
                <w:sz w:val="20"/>
                <w:szCs w:val="20"/>
              </w:rPr>
              <w:t>the Notes become due and payable in accordance with</w:t>
            </w:r>
            <w:r>
              <w:rPr>
                <w:rFonts w:ascii="Arial" w:hAnsi="Arial" w:cs="Arial" w:hint="eastAsia"/>
                <w:color w:val="000000" w:themeColor="text1"/>
                <w:sz w:val="20"/>
                <w:szCs w:val="20"/>
                <w:lang w:eastAsia="ja-JP"/>
              </w:rPr>
              <w:t xml:space="preserve"> </w:t>
            </w:r>
            <w:r w:rsidRPr="00C17340">
              <w:rPr>
                <w:rFonts w:ascii="Arial" w:eastAsia="Times New Roman" w:hAnsi="Arial" w:cs="Arial"/>
                <w:color w:val="000000" w:themeColor="text1"/>
                <w:sz w:val="20"/>
                <w:szCs w:val="20"/>
              </w:rPr>
              <w:t>Condition 9, the Interest Determination Date shall be</w:t>
            </w:r>
            <w:r>
              <w:rPr>
                <w:rFonts w:ascii="Arial" w:hAnsi="Arial" w:cs="Arial" w:hint="eastAsia"/>
                <w:color w:val="000000" w:themeColor="text1"/>
                <w:sz w:val="20"/>
                <w:szCs w:val="20"/>
                <w:lang w:eastAsia="ja-JP"/>
              </w:rPr>
              <w:t xml:space="preserve"> </w:t>
            </w:r>
            <w:r w:rsidRPr="00C17340">
              <w:rPr>
                <w:rFonts w:ascii="Arial" w:eastAsia="Times New Roman" w:hAnsi="Arial" w:cs="Arial"/>
                <w:color w:val="000000" w:themeColor="text1"/>
                <w:sz w:val="20"/>
                <w:szCs w:val="20"/>
              </w:rPr>
              <w:t>deemed to be the date on which the Notes become due and</w:t>
            </w:r>
            <w:r>
              <w:rPr>
                <w:rFonts w:ascii="Arial" w:hAnsi="Arial" w:cs="Arial" w:hint="eastAsia"/>
                <w:color w:val="000000" w:themeColor="text1"/>
                <w:sz w:val="20"/>
                <w:szCs w:val="20"/>
                <w:lang w:eastAsia="ja-JP"/>
              </w:rPr>
              <w:t xml:space="preserve"> </w:t>
            </w:r>
            <w:r w:rsidRPr="00C17340">
              <w:rPr>
                <w:rFonts w:ascii="Arial" w:eastAsia="Times New Roman" w:hAnsi="Arial" w:cs="Arial"/>
                <w:color w:val="000000" w:themeColor="text1"/>
                <w:sz w:val="20"/>
                <w:szCs w:val="20"/>
              </w:rPr>
              <w:t>payable.</w:t>
            </w:r>
          </w:p>
        </w:tc>
      </w:tr>
      <w:tr w:rsidR="00986504" w:rsidRPr="004304C8" w14:paraId="76F97705" w14:textId="77777777" w:rsidTr="00352DE3">
        <w:trPr>
          <w:trHeight w:val="289"/>
        </w:trPr>
        <w:tc>
          <w:tcPr>
            <w:tcW w:w="2610" w:type="dxa"/>
            <w:shd w:val="clear" w:color="auto" w:fill="D9E2F3" w:themeFill="accent1" w:themeFillTint="33"/>
            <w:noWrap/>
          </w:tcPr>
          <w:p w14:paraId="5B1AE0B7" w14:textId="3789ECBB" w:rsidR="00986504" w:rsidRPr="004304C8" w:rsidRDefault="00986504" w:rsidP="00986504">
            <w:pPr>
              <w:spacing w:before="60" w:after="6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Interest Periods</w:t>
            </w:r>
          </w:p>
        </w:tc>
        <w:tc>
          <w:tcPr>
            <w:tcW w:w="6750" w:type="dxa"/>
          </w:tcPr>
          <w:p w14:paraId="312BC38B" w14:textId="414BA510" w:rsidR="00986504" w:rsidRPr="003032B4" w:rsidDel="00C1233E" w:rsidRDefault="00986504" w:rsidP="00986504">
            <w:pPr>
              <w:spacing w:before="60" w:after="60"/>
              <w:rPr>
                <w:rFonts w:ascii="Arial" w:eastAsia="Times New Roman" w:hAnsi="Arial" w:cs="Arial"/>
                <w:color w:val="000000" w:themeColor="text1"/>
                <w:sz w:val="20"/>
                <w:szCs w:val="20"/>
              </w:rPr>
            </w:pPr>
            <w:r w:rsidRPr="003C6672">
              <w:rPr>
                <w:rFonts w:ascii="Arial" w:eastAsia="Times New Roman" w:hAnsi="Arial" w:cs="Arial"/>
                <w:color w:val="000000" w:themeColor="text1"/>
                <w:sz w:val="20"/>
                <w:szCs w:val="20"/>
              </w:rPr>
              <w:t>The period beginning on (and including) the Interest</w:t>
            </w:r>
            <w:r>
              <w:rPr>
                <w:rFonts w:ascii="Arial" w:hAnsi="Arial" w:cs="Arial" w:hint="eastAsia"/>
                <w:color w:val="000000" w:themeColor="text1"/>
                <w:sz w:val="20"/>
                <w:szCs w:val="20"/>
                <w:lang w:eastAsia="ja-JP"/>
              </w:rPr>
              <w:t xml:space="preserve"> </w:t>
            </w:r>
            <w:r w:rsidRPr="003C6672">
              <w:rPr>
                <w:rFonts w:ascii="Arial" w:eastAsia="Times New Roman" w:hAnsi="Arial" w:cs="Arial"/>
                <w:color w:val="000000" w:themeColor="text1"/>
                <w:sz w:val="20"/>
                <w:szCs w:val="20"/>
              </w:rPr>
              <w:t>Commencement Date and ending on (but excluding) the</w:t>
            </w:r>
            <w:r>
              <w:rPr>
                <w:rFonts w:ascii="Arial" w:hAnsi="Arial" w:cs="Arial" w:hint="eastAsia"/>
                <w:color w:val="000000" w:themeColor="text1"/>
                <w:sz w:val="20"/>
                <w:szCs w:val="20"/>
                <w:lang w:eastAsia="ja-JP"/>
              </w:rPr>
              <w:t xml:space="preserve"> </w:t>
            </w:r>
            <w:r w:rsidRPr="003C6672">
              <w:rPr>
                <w:rFonts w:ascii="Arial" w:eastAsia="Times New Roman" w:hAnsi="Arial" w:cs="Arial"/>
                <w:color w:val="000000" w:themeColor="text1"/>
                <w:sz w:val="20"/>
                <w:szCs w:val="20"/>
              </w:rPr>
              <w:t>First Interest Payment Date and each successive period</w:t>
            </w:r>
            <w:r>
              <w:rPr>
                <w:rFonts w:ascii="Arial" w:hAnsi="Arial" w:cs="Arial" w:hint="eastAsia"/>
                <w:color w:val="000000" w:themeColor="text1"/>
                <w:sz w:val="20"/>
                <w:szCs w:val="20"/>
                <w:lang w:eastAsia="ja-JP"/>
              </w:rPr>
              <w:t xml:space="preserve"> </w:t>
            </w:r>
            <w:r w:rsidRPr="003C6672">
              <w:rPr>
                <w:rFonts w:ascii="Arial" w:eastAsia="Times New Roman" w:hAnsi="Arial" w:cs="Arial"/>
                <w:color w:val="000000" w:themeColor="text1"/>
                <w:sz w:val="20"/>
                <w:szCs w:val="20"/>
              </w:rPr>
              <w:t>beginning on (and including) a Specified Interest Payment</w:t>
            </w:r>
            <w:r>
              <w:rPr>
                <w:rFonts w:ascii="Arial" w:hAnsi="Arial" w:cs="Arial" w:hint="eastAsia"/>
                <w:color w:val="000000" w:themeColor="text1"/>
                <w:sz w:val="20"/>
                <w:szCs w:val="20"/>
                <w:lang w:eastAsia="ja-JP"/>
              </w:rPr>
              <w:t xml:space="preserve"> </w:t>
            </w:r>
            <w:r w:rsidRPr="003C6672">
              <w:rPr>
                <w:rFonts w:ascii="Arial" w:eastAsia="Times New Roman" w:hAnsi="Arial" w:cs="Arial"/>
                <w:color w:val="000000" w:themeColor="text1"/>
                <w:sz w:val="20"/>
                <w:szCs w:val="20"/>
              </w:rPr>
              <w:t>Date and ending on (but excluding) the next succeeding</w:t>
            </w:r>
            <w:r>
              <w:rPr>
                <w:rFonts w:ascii="Arial" w:hAnsi="Arial" w:cs="Arial" w:hint="eastAsia"/>
                <w:color w:val="000000" w:themeColor="text1"/>
                <w:sz w:val="20"/>
                <w:szCs w:val="20"/>
                <w:lang w:eastAsia="ja-JP"/>
              </w:rPr>
              <w:t xml:space="preserve"> </w:t>
            </w:r>
            <w:r w:rsidRPr="003C6672">
              <w:rPr>
                <w:rFonts w:ascii="Arial" w:eastAsia="Times New Roman" w:hAnsi="Arial" w:cs="Arial"/>
                <w:color w:val="000000" w:themeColor="text1"/>
                <w:sz w:val="20"/>
                <w:szCs w:val="20"/>
              </w:rPr>
              <w:t>Specified Interest Payment Date, as each date may be</w:t>
            </w:r>
            <w:r>
              <w:rPr>
                <w:rFonts w:ascii="Arial" w:hAnsi="Arial" w:cs="Arial" w:hint="eastAsia"/>
                <w:color w:val="000000" w:themeColor="text1"/>
                <w:sz w:val="20"/>
                <w:szCs w:val="20"/>
                <w:lang w:eastAsia="ja-JP"/>
              </w:rPr>
              <w:t xml:space="preserve"> </w:t>
            </w:r>
            <w:r w:rsidRPr="003C6672">
              <w:rPr>
                <w:rFonts w:ascii="Arial" w:eastAsia="Times New Roman" w:hAnsi="Arial" w:cs="Arial"/>
                <w:color w:val="000000" w:themeColor="text1"/>
                <w:sz w:val="20"/>
                <w:szCs w:val="20"/>
              </w:rPr>
              <w:t>adjusted in accordance with the Modified Following</w:t>
            </w:r>
            <w:r>
              <w:rPr>
                <w:rFonts w:ascii="Arial" w:hAnsi="Arial" w:cs="Arial" w:hint="eastAsia"/>
                <w:color w:val="000000" w:themeColor="text1"/>
                <w:sz w:val="20"/>
                <w:szCs w:val="20"/>
                <w:lang w:eastAsia="ja-JP"/>
              </w:rPr>
              <w:t xml:space="preserve"> </w:t>
            </w:r>
            <w:r w:rsidRPr="003C6672">
              <w:rPr>
                <w:rFonts w:ascii="Arial" w:eastAsia="Times New Roman" w:hAnsi="Arial" w:cs="Arial"/>
                <w:color w:val="000000" w:themeColor="text1"/>
                <w:sz w:val="20"/>
                <w:szCs w:val="20"/>
              </w:rPr>
              <w:t>Business Day Convention</w:t>
            </w:r>
          </w:p>
        </w:tc>
      </w:tr>
      <w:tr w:rsidR="00986504" w:rsidRPr="004304C8" w14:paraId="18B2C503" w14:textId="77777777" w:rsidTr="00352DE3">
        <w:trPr>
          <w:trHeight w:val="432"/>
        </w:trPr>
        <w:tc>
          <w:tcPr>
            <w:tcW w:w="9360" w:type="dxa"/>
            <w:gridSpan w:val="2"/>
            <w:shd w:val="clear" w:color="auto" w:fill="D5DCE4" w:themeFill="text2" w:themeFillTint="33"/>
            <w:noWrap/>
            <w:vAlign w:val="center"/>
          </w:tcPr>
          <w:p w14:paraId="65195A86" w14:textId="64140CAB" w:rsidR="00986504" w:rsidRPr="004304C8" w:rsidRDefault="00986504" w:rsidP="00986504">
            <w:pPr>
              <w:spacing w:before="60" w:after="60"/>
              <w:jc w:val="center"/>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OTHER PROVISIONS</w:t>
            </w:r>
          </w:p>
        </w:tc>
      </w:tr>
      <w:tr w:rsidR="00986504" w:rsidRPr="004304C8" w14:paraId="60566CCD" w14:textId="77777777" w:rsidTr="00352DE3">
        <w:trPr>
          <w:trHeight w:val="89"/>
        </w:trPr>
        <w:tc>
          <w:tcPr>
            <w:tcW w:w="2610" w:type="dxa"/>
            <w:shd w:val="clear" w:color="auto" w:fill="D9E2F3" w:themeFill="accent1" w:themeFillTint="33"/>
            <w:noWrap/>
          </w:tcPr>
          <w:p w14:paraId="44C650C6" w14:textId="63EC5996" w:rsidR="00986504" w:rsidRPr="004304C8" w:rsidRDefault="00986504" w:rsidP="00986504">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Calculation Agent/Paying Agent</w:t>
            </w:r>
          </w:p>
        </w:tc>
        <w:tc>
          <w:tcPr>
            <w:tcW w:w="6750" w:type="dxa"/>
          </w:tcPr>
          <w:p w14:paraId="071589DC" w14:textId="7255AA07" w:rsidR="00986504" w:rsidRPr="004304C8" w:rsidRDefault="00986504" w:rsidP="00986504">
            <w:pPr>
              <w:spacing w:before="60" w:after="60"/>
              <w:rPr>
                <w:rFonts w:ascii="Arial" w:eastAsia="Times New Roman" w:hAnsi="Arial" w:cs="Arial"/>
                <w:b/>
                <w:bCs/>
                <w:color w:val="000000" w:themeColor="text1"/>
                <w:sz w:val="20"/>
                <w:szCs w:val="20"/>
              </w:rPr>
            </w:pPr>
            <w:r w:rsidRPr="00352DE3">
              <w:rPr>
                <w:rFonts w:ascii="Arial" w:hAnsi="Arial"/>
                <w:color w:val="000000" w:themeColor="text1"/>
                <w:sz w:val="20"/>
              </w:rPr>
              <w:t>Citibank N.A.</w:t>
            </w:r>
            <w:r w:rsidR="0003760A">
              <w:rPr>
                <w:rFonts w:ascii="Arial" w:hAnsi="Arial"/>
                <w:color w:val="000000" w:themeColor="text1"/>
                <w:sz w:val="20"/>
              </w:rPr>
              <w:t>, London Branch</w:t>
            </w:r>
          </w:p>
        </w:tc>
      </w:tr>
      <w:tr w:rsidR="00986504" w:rsidRPr="004304C8" w14:paraId="546771EB" w14:textId="77777777" w:rsidTr="00352DE3">
        <w:trPr>
          <w:trHeight w:val="290"/>
        </w:trPr>
        <w:tc>
          <w:tcPr>
            <w:tcW w:w="2610" w:type="dxa"/>
            <w:shd w:val="clear" w:color="auto" w:fill="D9E2F3" w:themeFill="accent1" w:themeFillTint="33"/>
            <w:noWrap/>
            <w:hideMark/>
          </w:tcPr>
          <w:p w14:paraId="0240B76C" w14:textId="77777777" w:rsidR="00986504" w:rsidRPr="004304C8" w:rsidRDefault="00986504" w:rsidP="0098650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Use of Proceeds</w:t>
            </w:r>
          </w:p>
        </w:tc>
        <w:tc>
          <w:tcPr>
            <w:tcW w:w="6750" w:type="dxa"/>
          </w:tcPr>
          <w:p w14:paraId="07C96655" w14:textId="01EFC053" w:rsidR="00986504" w:rsidRPr="004304C8" w:rsidRDefault="006E7607" w:rsidP="00986504">
            <w:pPr>
              <w:spacing w:before="60" w:after="6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N/A</w:t>
            </w:r>
          </w:p>
        </w:tc>
      </w:tr>
      <w:tr w:rsidR="00467054" w:rsidRPr="004304C8" w14:paraId="2154FB32" w14:textId="77777777" w:rsidTr="00352DE3">
        <w:trPr>
          <w:trHeight w:val="290"/>
        </w:trPr>
        <w:tc>
          <w:tcPr>
            <w:tcW w:w="2610" w:type="dxa"/>
            <w:shd w:val="clear" w:color="auto" w:fill="D9E2F3" w:themeFill="accent1" w:themeFillTint="33"/>
            <w:noWrap/>
          </w:tcPr>
          <w:p w14:paraId="66CAE21E" w14:textId="0D021BB4" w:rsidR="00467054" w:rsidRPr="004304C8" w:rsidRDefault="00467054" w:rsidP="00467054">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Form of the Note</w:t>
            </w:r>
          </w:p>
        </w:tc>
        <w:tc>
          <w:tcPr>
            <w:tcW w:w="6750" w:type="dxa"/>
          </w:tcPr>
          <w:p w14:paraId="10517DD5" w14:textId="67AF7339" w:rsidR="00467054" w:rsidRPr="004304C8" w:rsidRDefault="00467054" w:rsidP="00467054">
            <w:pPr>
              <w:spacing w:before="60" w:after="60"/>
              <w:rPr>
                <w:rFonts w:ascii="Arial" w:eastAsia="Times New Roman" w:hAnsi="Arial" w:cs="Arial"/>
                <w:color w:val="000000" w:themeColor="text1"/>
                <w:sz w:val="20"/>
                <w:szCs w:val="20"/>
              </w:rPr>
            </w:pPr>
            <w:r>
              <w:rPr>
                <w:rFonts w:ascii="Arial" w:hAnsi="Arial" w:cs="Arial" w:hint="eastAsia"/>
                <w:sz w:val="20"/>
                <w:szCs w:val="20"/>
                <w:lang w:eastAsia="ja-JP"/>
              </w:rPr>
              <w:t xml:space="preserve">Global (SEC exempt), </w:t>
            </w:r>
            <w:r w:rsidRPr="003B5183">
              <w:rPr>
                <w:rFonts w:ascii="Arial" w:eastAsia="Times New Roman" w:hAnsi="Arial" w:cs="Arial"/>
                <w:sz w:val="20"/>
                <w:szCs w:val="20"/>
              </w:rPr>
              <w:t>Registered</w:t>
            </w:r>
          </w:p>
        </w:tc>
      </w:tr>
      <w:tr w:rsidR="00986504" w:rsidRPr="004304C8" w14:paraId="3BC0E738" w14:textId="77777777" w:rsidTr="00352DE3">
        <w:trPr>
          <w:trHeight w:val="290"/>
        </w:trPr>
        <w:tc>
          <w:tcPr>
            <w:tcW w:w="2610" w:type="dxa"/>
            <w:shd w:val="clear" w:color="auto" w:fill="D9E2F3" w:themeFill="accent1" w:themeFillTint="33"/>
            <w:noWrap/>
          </w:tcPr>
          <w:p w14:paraId="18D35A37" w14:textId="24ED74D3" w:rsidR="00986504" w:rsidRPr="004304C8" w:rsidRDefault="00986504" w:rsidP="0098650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Manufacturer for MiFID II/MiFIR Purposes</w:t>
            </w:r>
          </w:p>
        </w:tc>
        <w:tc>
          <w:tcPr>
            <w:tcW w:w="6750" w:type="dxa"/>
          </w:tcPr>
          <w:p w14:paraId="7F38A939" w14:textId="5BE32148" w:rsidR="00986504" w:rsidRPr="004304C8" w:rsidRDefault="00986504" w:rsidP="00986504">
            <w:pPr>
              <w:spacing w:before="60" w:after="60"/>
              <w:rPr>
                <w:rFonts w:ascii="Arial" w:hAnsi="Arial" w:cs="Arial"/>
                <w:bCs/>
                <w:color w:val="000000" w:themeColor="text1"/>
                <w:sz w:val="20"/>
                <w:szCs w:val="20"/>
              </w:rPr>
            </w:pPr>
            <w:r w:rsidRPr="004304C8">
              <w:rPr>
                <w:rFonts w:ascii="Arial" w:hAnsi="Arial" w:cs="Arial"/>
                <w:bCs/>
                <w:color w:val="000000" w:themeColor="text1"/>
                <w:sz w:val="20"/>
                <w:szCs w:val="20"/>
              </w:rPr>
              <w:t>[Dealer]</w:t>
            </w:r>
          </w:p>
        </w:tc>
      </w:tr>
      <w:tr w:rsidR="00986504" w:rsidRPr="004304C8" w14:paraId="35DAC636" w14:textId="77777777" w:rsidTr="00352DE3">
        <w:trPr>
          <w:trHeight w:val="290"/>
        </w:trPr>
        <w:tc>
          <w:tcPr>
            <w:tcW w:w="2610" w:type="dxa"/>
            <w:shd w:val="clear" w:color="auto" w:fill="D9E2F3" w:themeFill="accent1" w:themeFillTint="33"/>
            <w:noWrap/>
            <w:hideMark/>
          </w:tcPr>
          <w:p w14:paraId="17DCE520" w14:textId="77777777" w:rsidR="00986504" w:rsidRPr="004304C8" w:rsidRDefault="00986504" w:rsidP="0098650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Documentation</w:t>
            </w:r>
          </w:p>
        </w:tc>
        <w:tc>
          <w:tcPr>
            <w:tcW w:w="6750" w:type="dxa"/>
          </w:tcPr>
          <w:p w14:paraId="104EB0A1" w14:textId="724C9D2D" w:rsidR="00986504" w:rsidRPr="004304C8" w:rsidRDefault="00986504" w:rsidP="0098650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The Final Terms will be produced on the basis of IFC’s Global-Medium Term Note Program as described in the Prospectus dated </w:t>
            </w:r>
            <w:r w:rsidRPr="00352DE3">
              <w:rPr>
                <w:rFonts w:ascii="Arial" w:hAnsi="Arial"/>
                <w:color w:val="000000" w:themeColor="text1"/>
                <w:sz w:val="20"/>
              </w:rPr>
              <w:t xml:space="preserve">October </w:t>
            </w:r>
            <w:r w:rsidRPr="004304C8">
              <w:rPr>
                <w:rFonts w:ascii="Arial" w:hAnsi="Arial"/>
                <w:color w:val="000000" w:themeColor="text1"/>
                <w:sz w:val="20"/>
              </w:rPr>
              <w:t>3, 2023</w:t>
            </w:r>
            <w:r w:rsidRPr="00352DE3">
              <w:rPr>
                <w:rFonts w:ascii="Arial" w:hAnsi="Arial"/>
                <w:color w:val="000000" w:themeColor="text1"/>
                <w:sz w:val="20"/>
              </w:rPr>
              <w:t xml:space="preserve">, </w:t>
            </w:r>
            <w:r w:rsidRPr="004304C8">
              <w:rPr>
                <w:rFonts w:ascii="Arial" w:eastAsia="Times New Roman" w:hAnsi="Arial" w:cs="Arial"/>
                <w:color w:val="000000" w:themeColor="text1"/>
                <w:sz w:val="20"/>
                <w:szCs w:val="20"/>
              </w:rPr>
              <w:t>as supplemented from time to time.</w:t>
            </w:r>
          </w:p>
        </w:tc>
      </w:tr>
      <w:tr w:rsidR="00986504" w:rsidRPr="004304C8" w14:paraId="48126D82" w14:textId="77777777" w:rsidTr="00352DE3">
        <w:trPr>
          <w:trHeight w:val="290"/>
        </w:trPr>
        <w:tc>
          <w:tcPr>
            <w:tcW w:w="2610" w:type="dxa"/>
            <w:shd w:val="clear" w:color="auto" w:fill="D9E2F3" w:themeFill="accent1" w:themeFillTint="33"/>
            <w:noWrap/>
            <w:hideMark/>
          </w:tcPr>
          <w:p w14:paraId="24F2E886" w14:textId="77777777" w:rsidR="00986504" w:rsidRPr="004304C8" w:rsidRDefault="00986504" w:rsidP="0098650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Governing Law</w:t>
            </w:r>
          </w:p>
        </w:tc>
        <w:sdt>
          <w:sdtPr>
            <w:rPr>
              <w:rFonts w:ascii="Arial" w:eastAsia="Times New Roman" w:hAnsi="Arial" w:cs="Arial"/>
              <w:color w:val="000000" w:themeColor="text1"/>
              <w:sz w:val="20"/>
              <w:szCs w:val="20"/>
            </w:rPr>
            <w:id w:val="1493914538"/>
            <w:placeholder>
              <w:docPart w:val="1CF892A959CC4F3487439000025749C1"/>
            </w:placeholder>
            <w:comboBox>
              <w:listItem w:value="Choose an item."/>
              <w:listItem w:displayText="New York" w:value="New York"/>
              <w:listItem w:displayText="English" w:value="English"/>
            </w:comboBox>
          </w:sdtPr>
          <w:sdtContent>
            <w:tc>
              <w:tcPr>
                <w:tcW w:w="6750" w:type="dxa"/>
              </w:tcPr>
              <w:p w14:paraId="15CF2D88" w14:textId="102E18F7" w:rsidR="00986504" w:rsidRPr="004304C8" w:rsidRDefault="004147A0" w:rsidP="00986504">
                <w:pPr>
                  <w:spacing w:before="60" w:after="6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New York</w:t>
                </w:r>
              </w:p>
            </w:tc>
          </w:sdtContent>
        </w:sdt>
      </w:tr>
      <w:tr w:rsidR="0003760A" w:rsidRPr="004304C8" w14:paraId="3D2A6000" w14:textId="77777777" w:rsidTr="00352DE3">
        <w:trPr>
          <w:trHeight w:val="290"/>
        </w:trPr>
        <w:tc>
          <w:tcPr>
            <w:tcW w:w="2610" w:type="dxa"/>
            <w:shd w:val="clear" w:color="auto" w:fill="D9E2F3" w:themeFill="accent1" w:themeFillTint="33"/>
            <w:noWrap/>
            <w:hideMark/>
          </w:tcPr>
          <w:p w14:paraId="05FFE96D" w14:textId="77777777" w:rsidR="0003760A" w:rsidRPr="004304C8" w:rsidRDefault="0003760A" w:rsidP="0003760A">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Clearing System</w:t>
            </w:r>
          </w:p>
        </w:tc>
        <w:tc>
          <w:tcPr>
            <w:tcW w:w="6750" w:type="dxa"/>
          </w:tcPr>
          <w:p w14:paraId="45AA9BDE" w14:textId="033C7EA7" w:rsidR="0003760A" w:rsidRPr="004304C8" w:rsidRDefault="0003760A" w:rsidP="0003760A">
            <w:pPr>
              <w:spacing w:before="60" w:after="60"/>
              <w:rPr>
                <w:rFonts w:ascii="Arial" w:eastAsia="Times New Roman" w:hAnsi="Arial" w:cs="Arial"/>
                <w:color w:val="000000" w:themeColor="text1"/>
                <w:sz w:val="20"/>
                <w:szCs w:val="20"/>
              </w:rPr>
            </w:pPr>
            <w:r w:rsidRPr="00B73655">
              <w:rPr>
                <w:rFonts w:ascii="Arial" w:eastAsia="Times New Roman" w:hAnsi="Arial" w:cs="Arial"/>
                <w:color w:val="000000" w:themeColor="text1"/>
                <w:sz w:val="20"/>
                <w:szCs w:val="20"/>
              </w:rPr>
              <w:t>The Depositary Trust Company ("DTC"), Euroclear, Clearstream</w:t>
            </w:r>
          </w:p>
        </w:tc>
      </w:tr>
      <w:tr w:rsidR="0016466A" w:rsidRPr="004304C8" w14:paraId="75E9A28A" w14:textId="77777777" w:rsidTr="00352DE3">
        <w:trPr>
          <w:trHeight w:val="107"/>
        </w:trPr>
        <w:tc>
          <w:tcPr>
            <w:tcW w:w="2610" w:type="dxa"/>
            <w:shd w:val="clear" w:color="auto" w:fill="D9E2F3" w:themeFill="accent1" w:themeFillTint="33"/>
            <w:noWrap/>
          </w:tcPr>
          <w:p w14:paraId="1DB1BD5D" w14:textId="77777777" w:rsidR="0016466A" w:rsidRPr="004304C8" w:rsidRDefault="0016466A" w:rsidP="0016466A">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Listing</w:t>
            </w:r>
          </w:p>
        </w:tc>
        <w:tc>
          <w:tcPr>
            <w:tcW w:w="6750" w:type="dxa"/>
          </w:tcPr>
          <w:p w14:paraId="46BA58B3" w14:textId="64B4D2E0" w:rsidR="0016466A" w:rsidRPr="00D65FF8" w:rsidRDefault="00F40D50" w:rsidP="0016466A">
            <w:pPr>
              <w:spacing w:before="60" w:after="6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w:t>
            </w:r>
          </w:p>
        </w:tc>
      </w:tr>
      <w:tr w:rsidR="0016466A" w:rsidRPr="004304C8" w14:paraId="114A0D86" w14:textId="77777777" w:rsidTr="00352DE3">
        <w:trPr>
          <w:trHeight w:val="152"/>
        </w:trPr>
        <w:tc>
          <w:tcPr>
            <w:tcW w:w="2610" w:type="dxa"/>
            <w:shd w:val="clear" w:color="auto" w:fill="D9E2F3" w:themeFill="accent1" w:themeFillTint="33"/>
            <w:noWrap/>
            <w:hideMark/>
          </w:tcPr>
          <w:p w14:paraId="1F0D8E55" w14:textId="6B84D274" w:rsidR="0016466A" w:rsidRPr="004304C8" w:rsidRDefault="0016466A" w:rsidP="0016466A">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ISIN/CUSIP/Common Code</w:t>
            </w:r>
          </w:p>
        </w:tc>
        <w:tc>
          <w:tcPr>
            <w:tcW w:w="6750" w:type="dxa"/>
          </w:tcPr>
          <w:p w14:paraId="661A12A4" w14:textId="79547605" w:rsidR="0016466A" w:rsidRPr="004304C8" w:rsidRDefault="00C74416" w:rsidP="0016466A">
            <w:pPr>
              <w:spacing w:before="60" w:after="60"/>
              <w:rPr>
                <w:rFonts w:ascii="Arial" w:eastAsia="Times New Roman" w:hAnsi="Arial" w:cs="Arial"/>
                <w:b/>
                <w:bCs/>
                <w:color w:val="000000" w:themeColor="text1"/>
                <w:sz w:val="20"/>
                <w:szCs w:val="20"/>
              </w:rPr>
            </w:pPr>
            <w:r>
              <w:rPr>
                <w:rFonts w:ascii="Arial" w:hAnsi="Arial"/>
                <w:color w:val="000000" w:themeColor="text1"/>
                <w:sz w:val="20"/>
              </w:rPr>
              <w:t>[</w:t>
            </w:r>
            <w:r w:rsidR="0017383A" w:rsidRPr="0017383A">
              <w:rPr>
                <w:rFonts w:ascii="Arial" w:hAnsi="Arial"/>
                <w:color w:val="000000" w:themeColor="text1"/>
                <w:sz w:val="20"/>
              </w:rPr>
              <w:t xml:space="preserve"> /  / </w:t>
            </w:r>
            <w:r>
              <w:rPr>
                <w:rFonts w:ascii="Arial" w:hAnsi="Arial"/>
                <w:color w:val="000000" w:themeColor="text1"/>
                <w:sz w:val="20"/>
              </w:rPr>
              <w:t>]</w:t>
            </w:r>
          </w:p>
        </w:tc>
      </w:tr>
    </w:tbl>
    <w:p w14:paraId="0C3FE0A1" w14:textId="0454D07E" w:rsidR="003D68B8" w:rsidRDefault="003D68B8">
      <w:pPr>
        <w:rPr>
          <w:rFonts w:ascii="Arial" w:hAnsi="Arial" w:cs="Arial"/>
          <w:b/>
          <w:bCs/>
          <w:color w:val="000000" w:themeColor="text1"/>
          <w:sz w:val="20"/>
          <w:szCs w:val="20"/>
        </w:rPr>
      </w:pPr>
    </w:p>
    <w:p w14:paraId="29638274" w14:textId="77777777" w:rsidR="00B23154" w:rsidRDefault="00B23154">
      <w:pPr>
        <w:rPr>
          <w:rFonts w:ascii="Arial" w:hAnsi="Arial" w:cs="Arial"/>
          <w:b/>
          <w:bCs/>
          <w:color w:val="000000" w:themeColor="text1"/>
          <w:sz w:val="20"/>
          <w:szCs w:val="20"/>
        </w:rPr>
      </w:pPr>
      <w:r>
        <w:rPr>
          <w:rFonts w:ascii="Arial" w:hAnsi="Arial" w:cs="Arial"/>
          <w:b/>
          <w:bCs/>
          <w:color w:val="000000" w:themeColor="text1"/>
          <w:sz w:val="20"/>
          <w:szCs w:val="20"/>
        </w:rPr>
        <w:br w:type="page"/>
      </w:r>
    </w:p>
    <w:p w14:paraId="238973A5" w14:textId="6C5E9540" w:rsidR="00026D3F" w:rsidRPr="004304C8" w:rsidRDefault="00026D3F" w:rsidP="00026D3F">
      <w:pPr>
        <w:tabs>
          <w:tab w:val="center" w:pos="4680"/>
          <w:tab w:val="left" w:pos="7947"/>
          <w:tab w:val="right" w:pos="9360"/>
        </w:tabs>
        <w:spacing w:beforeLines="20" w:before="48" w:afterLines="20" w:after="48"/>
        <w:jc w:val="center"/>
        <w:rPr>
          <w:rFonts w:ascii="Arial" w:hAnsi="Arial" w:cs="Arial"/>
          <w:b/>
          <w:bCs/>
          <w:color w:val="000000" w:themeColor="text1"/>
          <w:sz w:val="20"/>
          <w:szCs w:val="20"/>
        </w:rPr>
      </w:pPr>
      <w:r w:rsidRPr="00241DDE">
        <w:rPr>
          <w:rFonts w:ascii="Arial" w:hAnsi="Arial" w:cs="Arial"/>
          <w:b/>
          <w:bCs/>
          <w:color w:val="000000" w:themeColor="text1"/>
          <w:sz w:val="20"/>
          <w:szCs w:val="20"/>
        </w:rPr>
        <w:lastRenderedPageBreak/>
        <w:t xml:space="preserve">IFC SOFR FRN USD </w:t>
      </w:r>
      <w:r w:rsidR="006E5172">
        <w:rPr>
          <w:rFonts w:ascii="Arial" w:hAnsi="Arial" w:cs="Arial"/>
          <w:b/>
          <w:bCs/>
          <w:color w:val="000000" w:themeColor="text1"/>
          <w:sz w:val="20"/>
          <w:szCs w:val="20"/>
        </w:rPr>
        <w:t>[</w:t>
      </w:r>
      <w:r>
        <w:rPr>
          <w:rFonts w:ascii="Arial" w:hAnsi="Arial" w:cs="Arial"/>
          <w:b/>
          <w:bCs/>
          <w:color w:val="000000" w:themeColor="text1"/>
          <w:sz w:val="20"/>
          <w:szCs w:val="20"/>
        </w:rPr>
        <w:t>xx</w:t>
      </w:r>
      <w:r w:rsidR="006E5172">
        <w:rPr>
          <w:rFonts w:ascii="Arial" w:hAnsi="Arial" w:cs="Arial"/>
          <w:b/>
          <w:bCs/>
          <w:color w:val="000000" w:themeColor="text1"/>
          <w:sz w:val="20"/>
          <w:szCs w:val="20"/>
        </w:rPr>
        <w:t>]</w:t>
      </w:r>
      <w:r w:rsidRPr="00241DDE">
        <w:rPr>
          <w:rFonts w:ascii="Arial" w:hAnsi="Arial" w:cs="Arial"/>
          <w:b/>
          <w:bCs/>
          <w:color w:val="000000" w:themeColor="text1"/>
          <w:sz w:val="20"/>
          <w:szCs w:val="20"/>
        </w:rPr>
        <w:t xml:space="preserve"> mm </w:t>
      </w:r>
      <w:r w:rsidR="006E5172">
        <w:rPr>
          <w:rFonts w:ascii="Arial" w:hAnsi="Arial" w:cs="Arial"/>
          <w:b/>
          <w:bCs/>
          <w:color w:val="000000" w:themeColor="text1"/>
          <w:sz w:val="20"/>
          <w:szCs w:val="20"/>
        </w:rPr>
        <w:t>d</w:t>
      </w:r>
      <w:r w:rsidRPr="00241DDE">
        <w:rPr>
          <w:rFonts w:ascii="Arial" w:hAnsi="Arial" w:cs="Arial"/>
          <w:b/>
          <w:bCs/>
          <w:color w:val="000000" w:themeColor="text1"/>
          <w:sz w:val="20"/>
          <w:szCs w:val="20"/>
        </w:rPr>
        <w:t xml:space="preserve">ue </w:t>
      </w:r>
      <w:r w:rsidR="006E5172">
        <w:rPr>
          <w:rFonts w:ascii="Arial" w:hAnsi="Arial" w:cs="Arial"/>
          <w:b/>
          <w:bCs/>
          <w:color w:val="000000" w:themeColor="text1"/>
          <w:sz w:val="20"/>
          <w:szCs w:val="20"/>
        </w:rPr>
        <w:t>[</w:t>
      </w:r>
      <w:r w:rsidR="00F40D50">
        <w:rPr>
          <w:rFonts w:ascii="Arial" w:hAnsi="Arial" w:cs="Arial"/>
          <w:b/>
          <w:bCs/>
          <w:color w:val="000000" w:themeColor="text1"/>
          <w:sz w:val="20"/>
          <w:szCs w:val="20"/>
        </w:rPr>
        <w:t>xx</w:t>
      </w:r>
      <w:r w:rsidR="006E5172">
        <w:rPr>
          <w:rFonts w:ascii="Arial" w:hAnsi="Arial" w:cs="Arial"/>
          <w:b/>
          <w:bCs/>
          <w:color w:val="000000" w:themeColor="text1"/>
          <w:sz w:val="20"/>
          <w:szCs w:val="20"/>
        </w:rPr>
        <w:t>]</w:t>
      </w:r>
    </w:p>
    <w:p w14:paraId="574FE89D" w14:textId="6BB1EACC" w:rsidR="007D3AAB" w:rsidRPr="004304C8" w:rsidRDefault="00951D5D" w:rsidP="00352DE3">
      <w:pPr>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t xml:space="preserve">(hereunder </w:t>
      </w:r>
      <w:r w:rsidR="00EB61D7" w:rsidRPr="004304C8">
        <w:rPr>
          <w:rFonts w:ascii="Arial" w:hAnsi="Arial" w:cs="Arial"/>
          <w:b/>
          <w:bCs/>
          <w:color w:val="000000" w:themeColor="text1"/>
          <w:sz w:val="20"/>
          <w:szCs w:val="20"/>
        </w:rPr>
        <w:t xml:space="preserve">the </w:t>
      </w:r>
      <w:r w:rsidRPr="004304C8">
        <w:rPr>
          <w:rFonts w:ascii="Arial" w:hAnsi="Arial" w:cs="Arial"/>
          <w:b/>
          <w:bCs/>
          <w:color w:val="000000" w:themeColor="text1"/>
          <w:sz w:val="20"/>
          <w:szCs w:val="20"/>
        </w:rPr>
        <w:t>“Note</w:t>
      </w:r>
      <w:r w:rsidR="002E1D99" w:rsidRPr="004304C8">
        <w:rPr>
          <w:rFonts w:ascii="Arial" w:hAnsi="Arial" w:cs="Arial"/>
          <w:b/>
          <w:bCs/>
          <w:color w:val="000000" w:themeColor="text1"/>
          <w:sz w:val="20"/>
          <w:szCs w:val="20"/>
        </w:rPr>
        <w:t>s</w:t>
      </w:r>
      <w:r w:rsidRPr="004304C8">
        <w:rPr>
          <w:rFonts w:ascii="Arial" w:hAnsi="Arial" w:cs="Arial"/>
          <w:b/>
          <w:bCs/>
          <w:color w:val="000000" w:themeColor="text1"/>
          <w:sz w:val="20"/>
          <w:szCs w:val="20"/>
        </w:rPr>
        <w:t>”)</w:t>
      </w:r>
    </w:p>
    <w:p w14:paraId="501B167F" w14:textId="2ADBAAEC" w:rsidR="00036F3A" w:rsidRPr="004304C8" w:rsidRDefault="002F3F56" w:rsidP="00352DE3">
      <w:pPr>
        <w:spacing w:beforeLines="20" w:before="48" w:afterLines="20" w:after="48"/>
        <w:jc w:val="center"/>
        <w:rPr>
          <w:rFonts w:ascii="Arial" w:hAnsi="Arial" w:cs="Arial"/>
          <w:b/>
          <w:bCs/>
          <w:color w:val="000000" w:themeColor="text1"/>
          <w:sz w:val="20"/>
          <w:szCs w:val="20"/>
        </w:rPr>
      </w:pPr>
      <w:bookmarkStart w:id="2" w:name="_Hlk69388539"/>
      <w:bookmarkStart w:id="3" w:name="_Hlk69419916"/>
      <w:r w:rsidRPr="004304C8">
        <w:rPr>
          <w:rFonts w:ascii="Arial" w:hAnsi="Arial" w:cs="Arial"/>
          <w:b/>
          <w:bCs/>
          <w:color w:val="000000" w:themeColor="text1"/>
          <w:sz w:val="20"/>
          <w:szCs w:val="20"/>
        </w:rPr>
        <w:t xml:space="preserve">Associated </w:t>
      </w:r>
      <w:r w:rsidR="00855B2C">
        <w:rPr>
          <w:rFonts w:ascii="Arial" w:hAnsi="Arial" w:cs="Arial"/>
          <w:b/>
          <w:bCs/>
          <w:color w:val="000000" w:themeColor="text1"/>
          <w:sz w:val="20"/>
          <w:szCs w:val="20"/>
        </w:rPr>
        <w:t>Interest Rate</w:t>
      </w:r>
      <w:r w:rsidRPr="004304C8">
        <w:rPr>
          <w:rFonts w:ascii="Arial" w:hAnsi="Arial" w:cs="Arial"/>
          <w:b/>
          <w:bCs/>
          <w:color w:val="000000" w:themeColor="text1"/>
          <w:sz w:val="20"/>
          <w:szCs w:val="20"/>
        </w:rPr>
        <w:t xml:space="preserve"> Swap Term Shee</w:t>
      </w:r>
      <w:r w:rsidR="00E44E18" w:rsidRPr="004304C8">
        <w:rPr>
          <w:rFonts w:ascii="Arial" w:hAnsi="Arial" w:cs="Arial"/>
          <w:b/>
          <w:bCs/>
          <w:color w:val="000000" w:themeColor="text1"/>
          <w:sz w:val="20"/>
          <w:szCs w:val="20"/>
        </w:rPr>
        <w:t>t</w:t>
      </w:r>
      <w:bookmarkEnd w:id="2"/>
    </w:p>
    <w:p w14:paraId="0637AEFF" w14:textId="77777777" w:rsidR="0096263D" w:rsidRPr="004304C8" w:rsidRDefault="0096263D" w:rsidP="00352DE3">
      <w:pPr>
        <w:spacing w:beforeLines="20" w:before="48" w:afterLines="20" w:after="48"/>
        <w:jc w:val="center"/>
        <w:rPr>
          <w:rFonts w:ascii="Arial" w:hAnsi="Arial" w:cs="Arial"/>
          <w:b/>
          <w:bCs/>
          <w:color w:val="000000" w:themeColor="text1"/>
          <w:sz w:val="20"/>
          <w:szCs w:val="20"/>
        </w:rPr>
      </w:pPr>
    </w:p>
    <w:tbl>
      <w:tblPr>
        <w:tblStyle w:val="TableGrid"/>
        <w:tblW w:w="93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95"/>
        <w:gridCol w:w="6565"/>
      </w:tblGrid>
      <w:tr w:rsidR="004304C8" w:rsidRPr="004304C8" w14:paraId="6F810D40" w14:textId="77777777" w:rsidTr="11B68952">
        <w:trPr>
          <w:trHeight w:val="290"/>
        </w:trPr>
        <w:tc>
          <w:tcPr>
            <w:tcW w:w="2795" w:type="dxa"/>
            <w:vMerge w:val="restart"/>
            <w:shd w:val="clear" w:color="auto" w:fill="D9E2F3" w:themeFill="accent1" w:themeFillTint="33"/>
            <w:noWrap/>
          </w:tcPr>
          <w:p w14:paraId="093B6EC5" w14:textId="458D32D5" w:rsidR="005B78CA" w:rsidRPr="004304C8" w:rsidRDefault="00B6363D" w:rsidP="00352DE3">
            <w:pPr>
              <w:spacing w:before="60" w:after="60"/>
              <w:rPr>
                <w:rFonts w:ascii="Arial" w:eastAsia="Times New Roman" w:hAnsi="Arial" w:cs="Arial"/>
                <w:b/>
                <w:bCs/>
                <w:color w:val="000000" w:themeColor="text1"/>
                <w:sz w:val="20"/>
                <w:szCs w:val="20"/>
              </w:rPr>
            </w:pPr>
            <w:bookmarkStart w:id="4" w:name="_Hlk43216312"/>
            <w:bookmarkEnd w:id="3"/>
            <w:r w:rsidRPr="004304C8">
              <w:rPr>
                <w:rFonts w:ascii="Arial" w:eastAsia="Times New Roman" w:hAnsi="Arial" w:cs="Arial"/>
                <w:color w:val="000000" w:themeColor="text1"/>
                <w:sz w:val="20"/>
                <w:szCs w:val="20"/>
              </w:rPr>
              <w:t>Party A</w:t>
            </w:r>
          </w:p>
        </w:tc>
        <w:tc>
          <w:tcPr>
            <w:tcW w:w="6565" w:type="dxa"/>
          </w:tcPr>
          <w:p w14:paraId="48152D8B" w14:textId="42555B35" w:rsidR="005B78CA" w:rsidRPr="004304C8" w:rsidRDefault="005B78CA" w:rsidP="00352DE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Swapper’s full legal name]</w:t>
            </w:r>
          </w:p>
        </w:tc>
      </w:tr>
      <w:tr w:rsidR="004304C8" w:rsidRPr="004304C8" w14:paraId="56D857F1" w14:textId="77777777" w:rsidTr="11B68952">
        <w:trPr>
          <w:trHeight w:val="290"/>
        </w:trPr>
        <w:tc>
          <w:tcPr>
            <w:tcW w:w="2795" w:type="dxa"/>
            <w:vMerge/>
            <w:noWrap/>
          </w:tcPr>
          <w:p w14:paraId="093809A5" w14:textId="77777777" w:rsidR="005B78CA" w:rsidRPr="004304C8" w:rsidDel="00A72468" w:rsidRDefault="005B78CA" w:rsidP="00352DE3">
            <w:pPr>
              <w:spacing w:before="60" w:after="60"/>
              <w:rPr>
                <w:rFonts w:ascii="Arial" w:eastAsia="Times New Roman" w:hAnsi="Arial" w:cs="Arial"/>
                <w:color w:val="000000" w:themeColor="text1"/>
                <w:sz w:val="20"/>
                <w:szCs w:val="20"/>
              </w:rPr>
            </w:pPr>
          </w:p>
        </w:tc>
        <w:tc>
          <w:tcPr>
            <w:tcW w:w="6565" w:type="dxa"/>
          </w:tcPr>
          <w:p w14:paraId="45D6A72E" w14:textId="33F48219" w:rsidR="005B78CA" w:rsidRPr="004304C8" w:rsidRDefault="005B78CA" w:rsidP="00352DE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Swapper’s branch]</w:t>
            </w:r>
          </w:p>
        </w:tc>
      </w:tr>
      <w:tr w:rsidR="004304C8" w:rsidRPr="004304C8" w14:paraId="542802A6" w14:textId="77777777" w:rsidTr="11B68952">
        <w:trPr>
          <w:trHeight w:val="290"/>
        </w:trPr>
        <w:tc>
          <w:tcPr>
            <w:tcW w:w="2795" w:type="dxa"/>
            <w:shd w:val="clear" w:color="auto" w:fill="D9E2F3" w:themeFill="accent1" w:themeFillTint="33"/>
            <w:noWrap/>
          </w:tcPr>
          <w:p w14:paraId="59833323" w14:textId="6D7BDF9B" w:rsidR="00B6363D" w:rsidRPr="004304C8" w:rsidDel="00A72468" w:rsidRDefault="00B6363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B</w:t>
            </w:r>
          </w:p>
        </w:tc>
        <w:tc>
          <w:tcPr>
            <w:tcW w:w="6565" w:type="dxa"/>
          </w:tcPr>
          <w:p w14:paraId="194DAE64" w14:textId="2FC4DBA3" w:rsidR="00B6363D" w:rsidRPr="004304C8" w:rsidRDefault="00B6363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International Finance Corporation (“IFC”)</w:t>
            </w:r>
          </w:p>
        </w:tc>
      </w:tr>
      <w:tr w:rsidR="004304C8" w:rsidRPr="004304C8" w14:paraId="067B479A" w14:textId="77777777" w:rsidTr="11B68952">
        <w:trPr>
          <w:trHeight w:val="290"/>
        </w:trPr>
        <w:tc>
          <w:tcPr>
            <w:tcW w:w="2795" w:type="dxa"/>
            <w:shd w:val="clear" w:color="auto" w:fill="D9E2F3" w:themeFill="accent1" w:themeFillTint="33"/>
            <w:noWrap/>
          </w:tcPr>
          <w:p w14:paraId="3239D03E" w14:textId="4BE83C60"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Trade Date</w:t>
            </w:r>
          </w:p>
        </w:tc>
        <w:tc>
          <w:tcPr>
            <w:tcW w:w="6565" w:type="dxa"/>
          </w:tcPr>
          <w:p w14:paraId="6EF6A094" w14:textId="310B767B"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data to match the Notes]</w:t>
            </w:r>
          </w:p>
        </w:tc>
      </w:tr>
      <w:tr w:rsidR="004304C8" w:rsidRPr="004304C8" w14:paraId="7EAB7CDE" w14:textId="77777777" w:rsidTr="11B68952">
        <w:trPr>
          <w:trHeight w:val="290"/>
        </w:trPr>
        <w:tc>
          <w:tcPr>
            <w:tcW w:w="2795" w:type="dxa"/>
            <w:shd w:val="clear" w:color="auto" w:fill="D9E2F3" w:themeFill="accent1" w:themeFillTint="33"/>
            <w:noWrap/>
          </w:tcPr>
          <w:p w14:paraId="3BD933A8" w14:textId="1AE9A11A" w:rsidR="00A72468" w:rsidRPr="004304C8" w:rsidDel="001F00F6" w:rsidRDefault="00A72468" w:rsidP="00352DE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Effective Date</w:t>
            </w:r>
          </w:p>
        </w:tc>
        <w:tc>
          <w:tcPr>
            <w:tcW w:w="6565" w:type="dxa"/>
          </w:tcPr>
          <w:p w14:paraId="169F772B" w14:textId="54E3F1C4" w:rsidR="00A72468" w:rsidRPr="004304C8" w:rsidRDefault="00A72468" w:rsidP="00352DE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5C1E25FE" w14:textId="77777777" w:rsidTr="11B68952">
        <w:trPr>
          <w:trHeight w:val="290"/>
        </w:trPr>
        <w:tc>
          <w:tcPr>
            <w:tcW w:w="2795" w:type="dxa"/>
            <w:shd w:val="clear" w:color="auto" w:fill="D9E2F3" w:themeFill="accent1" w:themeFillTint="33"/>
            <w:noWrap/>
          </w:tcPr>
          <w:p w14:paraId="77C2BE40" w14:textId="4748CF50" w:rsidR="00A72468" w:rsidRPr="004304C8" w:rsidDel="001F00F6" w:rsidRDefault="00A72468" w:rsidP="00352DE3">
            <w:pPr>
              <w:spacing w:before="60" w:after="60"/>
              <w:rPr>
                <w:rFonts w:ascii="Arial" w:eastAsia="Times New Roman" w:hAnsi="Arial" w:cs="Arial"/>
                <w:color w:val="000000" w:themeColor="text1"/>
                <w:sz w:val="20"/>
                <w:szCs w:val="20"/>
              </w:rPr>
            </w:pPr>
            <w:bookmarkStart w:id="5" w:name="_Hlk165288637"/>
            <w:r w:rsidRPr="004304C8">
              <w:rPr>
                <w:rFonts w:ascii="Arial" w:eastAsia="Times New Roman" w:hAnsi="Arial" w:cs="Arial"/>
                <w:color w:val="000000" w:themeColor="text1"/>
                <w:sz w:val="20"/>
                <w:szCs w:val="20"/>
              </w:rPr>
              <w:t>Termination Date</w:t>
            </w:r>
            <w:bookmarkEnd w:id="5"/>
          </w:p>
        </w:tc>
        <w:tc>
          <w:tcPr>
            <w:tcW w:w="6565" w:type="dxa"/>
          </w:tcPr>
          <w:p w14:paraId="05099823" w14:textId="737110D4" w:rsidR="00A72468" w:rsidRPr="004304C8" w:rsidRDefault="00686385" w:rsidP="00352DE3">
            <w:pPr>
              <w:spacing w:before="60" w:after="6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w:t>
            </w:r>
            <w:r w:rsidR="00F40D50">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w:t>
            </w:r>
          </w:p>
        </w:tc>
      </w:tr>
      <w:tr w:rsidR="000F6013" w:rsidRPr="009245C3" w14:paraId="3E197CB4" w14:textId="77777777" w:rsidTr="11B68952">
        <w:trPr>
          <w:trHeight w:val="50"/>
        </w:trPr>
        <w:tc>
          <w:tcPr>
            <w:tcW w:w="2795" w:type="dxa"/>
            <w:shd w:val="clear" w:color="auto" w:fill="D9E2F3" w:themeFill="accent1" w:themeFillTint="33"/>
            <w:noWrap/>
          </w:tcPr>
          <w:p w14:paraId="21B4D20C" w14:textId="3868DEAE" w:rsidR="00036F3A" w:rsidRPr="009245C3" w:rsidRDefault="00036F3A" w:rsidP="00352DE3">
            <w:pPr>
              <w:spacing w:before="60" w:after="60"/>
              <w:rPr>
                <w:rFonts w:ascii="Arial" w:eastAsia="Times New Roman" w:hAnsi="Arial" w:cs="Arial"/>
                <w:color w:val="000000" w:themeColor="text1"/>
                <w:sz w:val="20"/>
                <w:szCs w:val="20"/>
              </w:rPr>
            </w:pPr>
            <w:r w:rsidRPr="00352DE3">
              <w:rPr>
                <w:rFonts w:ascii="Arial" w:hAnsi="Arial"/>
                <w:color w:val="000000" w:themeColor="text1"/>
                <w:sz w:val="20"/>
              </w:rPr>
              <w:t>Notional</w:t>
            </w:r>
            <w:r w:rsidR="008A04AC">
              <w:rPr>
                <w:rFonts w:ascii="Arial" w:hAnsi="Arial"/>
                <w:color w:val="000000" w:themeColor="text1"/>
                <w:sz w:val="20"/>
              </w:rPr>
              <w:t xml:space="preserve"> Amount</w:t>
            </w:r>
          </w:p>
        </w:tc>
        <w:tc>
          <w:tcPr>
            <w:tcW w:w="6565" w:type="dxa"/>
          </w:tcPr>
          <w:p w14:paraId="30EAE32A" w14:textId="32BD57B4" w:rsidR="00036F3A" w:rsidRPr="004365B0" w:rsidRDefault="00826B64" w:rsidP="00352DE3">
            <w:pPr>
              <w:spacing w:before="60" w:after="60"/>
              <w:rPr>
                <w:rFonts w:ascii="Arial" w:eastAsia="Yu Mincho" w:hAnsi="Arial" w:cs="Arial"/>
                <w:color w:val="000000" w:themeColor="text1"/>
                <w:sz w:val="20"/>
                <w:szCs w:val="20"/>
                <w:lang w:eastAsia="ja-JP"/>
              </w:rPr>
            </w:pPr>
            <w:r>
              <w:rPr>
                <w:rFonts w:ascii="Arial" w:eastAsia="Yu Mincho" w:hAnsi="Arial" w:cs="Arial"/>
                <w:color w:val="000000" w:themeColor="text1"/>
                <w:sz w:val="20"/>
                <w:szCs w:val="20"/>
                <w:lang w:eastAsia="ja-JP"/>
              </w:rPr>
              <w:t>USD xxx</w:t>
            </w:r>
          </w:p>
        </w:tc>
      </w:tr>
      <w:tr w:rsidR="004304C8" w:rsidRPr="004304C8" w14:paraId="1F992DFA" w14:textId="77777777" w:rsidTr="11B68952">
        <w:trPr>
          <w:trHeight w:val="290"/>
        </w:trPr>
        <w:tc>
          <w:tcPr>
            <w:tcW w:w="2795" w:type="dxa"/>
            <w:shd w:val="clear" w:color="auto" w:fill="D9E2F3" w:themeFill="accent1" w:themeFillTint="33"/>
            <w:noWrap/>
          </w:tcPr>
          <w:p w14:paraId="3AD12495" w14:textId="77777777" w:rsidR="009302C5" w:rsidRPr="004304C8" w:rsidRDefault="009302C5" w:rsidP="00352DE3">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Initial Exchange</w:t>
            </w:r>
          </w:p>
        </w:tc>
        <w:tc>
          <w:tcPr>
            <w:tcW w:w="6565" w:type="dxa"/>
          </w:tcPr>
          <w:p w14:paraId="047535AF" w14:textId="7C89C81F" w:rsidR="009302C5" w:rsidRPr="004304C8" w:rsidRDefault="00855B2C" w:rsidP="00352DE3">
            <w:pPr>
              <w:spacing w:before="60" w:after="60"/>
              <w:rPr>
                <w:rFonts w:ascii="Arial" w:eastAsia="Times New Roman" w:hAnsi="Arial" w:cs="Arial"/>
                <w:color w:val="000000" w:themeColor="text1"/>
                <w:sz w:val="20"/>
                <w:szCs w:val="20"/>
              </w:rPr>
            </w:pPr>
            <w:r>
              <w:rPr>
                <w:rFonts w:ascii="Arial" w:hAnsi="Arial" w:cs="Arial"/>
                <w:color w:val="000000" w:themeColor="text1"/>
                <w:sz w:val="20"/>
                <w:szCs w:val="20"/>
              </w:rPr>
              <w:t>None</w:t>
            </w:r>
          </w:p>
        </w:tc>
      </w:tr>
      <w:tr w:rsidR="004304C8" w:rsidRPr="004304C8" w14:paraId="07694AF2" w14:textId="77777777" w:rsidTr="11B68952">
        <w:trPr>
          <w:trHeight w:val="290"/>
        </w:trPr>
        <w:tc>
          <w:tcPr>
            <w:tcW w:w="2795" w:type="dxa"/>
            <w:shd w:val="clear" w:color="auto" w:fill="D9E2F3" w:themeFill="accent1" w:themeFillTint="33"/>
            <w:noWrap/>
          </w:tcPr>
          <w:p w14:paraId="52859A86" w14:textId="77777777" w:rsidR="009302C5" w:rsidRPr="004304C8" w:rsidRDefault="009302C5" w:rsidP="00352DE3">
            <w:pPr>
              <w:spacing w:before="60" w:after="60"/>
              <w:jc w:val="both"/>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Final Exchange</w:t>
            </w:r>
          </w:p>
        </w:tc>
        <w:tc>
          <w:tcPr>
            <w:tcW w:w="6565" w:type="dxa"/>
          </w:tcPr>
          <w:p w14:paraId="2D8FF9A7" w14:textId="4FF6B40C" w:rsidR="009302C5" w:rsidRPr="004304C8" w:rsidRDefault="00B97081" w:rsidP="00352DE3">
            <w:pPr>
              <w:spacing w:before="60" w:after="60"/>
              <w:rPr>
                <w:rFonts w:ascii="Arial" w:eastAsia="Times New Roman" w:hAnsi="Arial" w:cs="Arial"/>
                <w:color w:val="000000" w:themeColor="text1"/>
                <w:sz w:val="20"/>
                <w:szCs w:val="20"/>
              </w:rPr>
            </w:pPr>
            <w:r w:rsidRPr="00352DE3">
              <w:rPr>
                <w:rFonts w:ascii="Arial" w:hAnsi="Arial"/>
                <w:color w:val="000000" w:themeColor="text1"/>
                <w:sz w:val="20"/>
              </w:rPr>
              <w:t>None</w:t>
            </w:r>
          </w:p>
        </w:tc>
      </w:tr>
      <w:tr w:rsidR="004304C8" w:rsidRPr="004304C8" w14:paraId="07274A8E" w14:textId="77777777" w:rsidTr="11B68952">
        <w:trPr>
          <w:trHeight w:val="290"/>
        </w:trPr>
        <w:tc>
          <w:tcPr>
            <w:tcW w:w="2795" w:type="dxa"/>
            <w:shd w:val="clear" w:color="auto" w:fill="D9E2F3" w:themeFill="accent1" w:themeFillTint="33"/>
            <w:noWrap/>
          </w:tcPr>
          <w:p w14:paraId="6D6CE022" w14:textId="77777777" w:rsidR="009302C5" w:rsidRPr="004304C8" w:rsidRDefault="009302C5" w:rsidP="00352DE3">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Upfront Payment</w:t>
            </w:r>
          </w:p>
        </w:tc>
        <w:tc>
          <w:tcPr>
            <w:tcW w:w="6565" w:type="dxa"/>
          </w:tcPr>
          <w:p w14:paraId="04DF575D" w14:textId="1F23536C" w:rsidR="009302C5" w:rsidRPr="004304C8" w:rsidRDefault="00007B02" w:rsidP="00352DE3">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Party </w:t>
            </w:r>
            <w:r w:rsidR="00843904">
              <w:rPr>
                <w:rFonts w:ascii="Arial" w:eastAsia="Times New Roman" w:hAnsi="Arial" w:cs="Arial"/>
                <w:color w:val="000000" w:themeColor="text1"/>
                <w:sz w:val="20"/>
                <w:szCs w:val="20"/>
              </w:rPr>
              <w:t>[A]</w:t>
            </w:r>
            <w:r w:rsidRPr="004304C8">
              <w:rPr>
                <w:rFonts w:ascii="Arial" w:eastAsia="Times New Roman" w:hAnsi="Arial" w:cs="Arial"/>
                <w:color w:val="000000" w:themeColor="text1"/>
                <w:sz w:val="20"/>
                <w:szCs w:val="20"/>
              </w:rPr>
              <w:t xml:space="preserve"> will pay Party </w:t>
            </w:r>
            <w:r w:rsidR="00843904">
              <w:rPr>
                <w:rFonts w:ascii="Arial" w:eastAsia="Times New Roman" w:hAnsi="Arial" w:cs="Arial"/>
                <w:color w:val="000000" w:themeColor="text1"/>
                <w:sz w:val="20"/>
                <w:szCs w:val="20"/>
              </w:rPr>
              <w:t>[B]</w:t>
            </w:r>
            <w:r w:rsidRPr="004304C8">
              <w:rPr>
                <w:rFonts w:ascii="Arial" w:eastAsia="Times New Roman" w:hAnsi="Arial" w:cs="Arial"/>
                <w:color w:val="000000" w:themeColor="text1"/>
                <w:sz w:val="20"/>
                <w:szCs w:val="20"/>
              </w:rPr>
              <w:t xml:space="preserve"> an upfront payment of </w:t>
            </w:r>
            <w:r w:rsidRPr="004304C8">
              <w:rPr>
                <w:rFonts w:ascii="Wingdings" w:eastAsia="Wingdings" w:hAnsi="Wingdings" w:cs="Wingdings"/>
                <w:color w:val="000000" w:themeColor="text1"/>
                <w:sz w:val="20"/>
                <w:szCs w:val="20"/>
              </w:rPr>
              <w:t>l</w:t>
            </w:r>
            <w:r w:rsidRPr="004304C8">
              <w:rPr>
                <w:rFonts w:ascii="Arial" w:eastAsia="Times New Roman" w:hAnsi="Arial" w:cs="Arial"/>
                <w:color w:val="000000" w:themeColor="text1"/>
                <w:sz w:val="20"/>
                <w:szCs w:val="20"/>
              </w:rPr>
              <w:t xml:space="preserve"> (representing the difference between the net proceeds and the par amount of the Notes) for value Effective Date.</w:t>
            </w:r>
          </w:p>
        </w:tc>
      </w:tr>
      <w:tr w:rsidR="00C25445" w:rsidRPr="004304C8" w14:paraId="44598E4B" w14:textId="77777777" w:rsidTr="11B68952">
        <w:trPr>
          <w:trHeight w:val="290"/>
        </w:trPr>
        <w:tc>
          <w:tcPr>
            <w:tcW w:w="2795" w:type="dxa"/>
            <w:shd w:val="clear" w:color="auto" w:fill="D9E2F3" w:themeFill="accent1" w:themeFillTint="33"/>
            <w:noWrap/>
          </w:tcPr>
          <w:p w14:paraId="7F6D9071" w14:textId="5EE4D2B1" w:rsidR="00C25445" w:rsidRPr="004365B0" w:rsidRDefault="00C25445" w:rsidP="00352DE3">
            <w:pPr>
              <w:spacing w:before="60" w:after="60"/>
              <w:rPr>
                <w:rFonts w:ascii="Arial" w:eastAsia="Yu Mincho" w:hAnsi="Arial" w:cs="Arial"/>
                <w:b/>
                <w:bCs/>
                <w:color w:val="000000" w:themeColor="text1"/>
                <w:sz w:val="20"/>
                <w:szCs w:val="20"/>
                <w:lang w:eastAsia="ja-JP"/>
              </w:rPr>
            </w:pPr>
            <w:r w:rsidRPr="004365B0">
              <w:rPr>
                <w:rFonts w:ascii="Arial" w:eastAsia="Yu Mincho" w:hAnsi="Arial" w:cs="Arial"/>
                <w:b/>
                <w:bCs/>
                <w:color w:val="000000" w:themeColor="text1"/>
                <w:sz w:val="20"/>
                <w:szCs w:val="20"/>
                <w:lang w:eastAsia="ja-JP"/>
              </w:rPr>
              <w:t>Floating Amounts</w:t>
            </w:r>
            <w:r w:rsidR="00885B0F" w:rsidRPr="00885B0F">
              <w:rPr>
                <w:rFonts w:ascii="Arial" w:eastAsia="Yu Mincho" w:hAnsi="Arial" w:cs="Arial"/>
                <w:b/>
                <w:bCs/>
                <w:color w:val="000000" w:themeColor="text1"/>
                <w:sz w:val="20"/>
                <w:szCs w:val="20"/>
                <w:lang w:eastAsia="ja-JP"/>
              </w:rPr>
              <w:t xml:space="preserve"> </w:t>
            </w:r>
            <w:r w:rsidR="00885B0F" w:rsidRPr="004365B0">
              <w:rPr>
                <w:rFonts w:ascii="Arial" w:hAnsi="Arial" w:cs="Arial"/>
                <w:b/>
                <w:bCs/>
                <w:sz w:val="20"/>
                <w:szCs w:val="20"/>
              </w:rPr>
              <w:t>I</w:t>
            </w:r>
            <w:r w:rsidRPr="004365B0">
              <w:rPr>
                <w:rFonts w:ascii="Arial" w:eastAsia="Yu Mincho" w:hAnsi="Arial" w:cs="Arial"/>
                <w:b/>
                <w:bCs/>
                <w:color w:val="000000" w:themeColor="text1"/>
                <w:sz w:val="20"/>
                <w:szCs w:val="20"/>
                <w:lang w:eastAsia="ja-JP"/>
              </w:rPr>
              <w:t>:</w:t>
            </w:r>
          </w:p>
        </w:tc>
        <w:tc>
          <w:tcPr>
            <w:tcW w:w="6565" w:type="dxa"/>
          </w:tcPr>
          <w:p w14:paraId="294B2F12" w14:textId="77777777" w:rsidR="00C25445" w:rsidRPr="004304C8" w:rsidRDefault="00C25445" w:rsidP="00352DE3">
            <w:pPr>
              <w:spacing w:before="60" w:after="60"/>
              <w:rPr>
                <w:rFonts w:ascii="Arial" w:eastAsia="Times New Roman" w:hAnsi="Arial" w:cs="Arial"/>
                <w:color w:val="000000" w:themeColor="text1"/>
                <w:sz w:val="20"/>
                <w:szCs w:val="20"/>
              </w:rPr>
            </w:pPr>
          </w:p>
        </w:tc>
      </w:tr>
      <w:tr w:rsidR="00C25445" w:rsidRPr="004304C8" w14:paraId="7FE6C91A" w14:textId="77777777" w:rsidTr="11B68952">
        <w:trPr>
          <w:trHeight w:val="290"/>
        </w:trPr>
        <w:tc>
          <w:tcPr>
            <w:tcW w:w="2795" w:type="dxa"/>
            <w:shd w:val="clear" w:color="auto" w:fill="D9E2F3" w:themeFill="accent1" w:themeFillTint="33"/>
            <w:noWrap/>
          </w:tcPr>
          <w:p w14:paraId="69DBD57D" w14:textId="709080E0" w:rsidR="00C25445" w:rsidRPr="004365B0" w:rsidRDefault="00C25445" w:rsidP="00352DE3">
            <w:pPr>
              <w:spacing w:before="60" w:after="60"/>
              <w:rPr>
                <w:rFonts w:ascii="Arial" w:eastAsia="Yu Mincho" w:hAnsi="Arial" w:cs="Arial"/>
                <w:color w:val="000000" w:themeColor="text1"/>
                <w:sz w:val="20"/>
                <w:szCs w:val="20"/>
                <w:lang w:eastAsia="ja-JP"/>
              </w:rPr>
            </w:pPr>
            <w:r w:rsidRPr="004365B0">
              <w:rPr>
                <w:rFonts w:ascii="Arial" w:eastAsia="Yu Mincho" w:hAnsi="Arial" w:cs="Arial"/>
                <w:color w:val="000000" w:themeColor="text1"/>
                <w:sz w:val="20"/>
                <w:szCs w:val="20"/>
                <w:lang w:eastAsia="ja-JP"/>
              </w:rPr>
              <w:t>Floating Amount Payer</w:t>
            </w:r>
            <w:r w:rsidR="00885B0F">
              <w:rPr>
                <w:rFonts w:ascii="Arial" w:eastAsia="Yu Mincho" w:hAnsi="Arial" w:cs="Arial"/>
                <w:color w:val="000000" w:themeColor="text1"/>
                <w:sz w:val="20"/>
                <w:szCs w:val="20"/>
                <w:lang w:eastAsia="ja-JP"/>
              </w:rPr>
              <w:t xml:space="preserve"> </w:t>
            </w:r>
            <w:r w:rsidR="00885B0F" w:rsidRPr="004365B0">
              <w:rPr>
                <w:rFonts w:ascii="Arial" w:hAnsi="Arial" w:cs="Arial"/>
                <w:sz w:val="20"/>
                <w:szCs w:val="20"/>
              </w:rPr>
              <w:t>I</w:t>
            </w:r>
          </w:p>
        </w:tc>
        <w:tc>
          <w:tcPr>
            <w:tcW w:w="6565" w:type="dxa"/>
          </w:tcPr>
          <w:p w14:paraId="319A1A11" w14:textId="0CE5C9D9" w:rsidR="00C25445" w:rsidRPr="004365B0" w:rsidRDefault="00025E0D" w:rsidP="00352DE3">
            <w:pPr>
              <w:spacing w:before="60" w:after="60"/>
              <w:rPr>
                <w:rFonts w:ascii="Arial" w:eastAsia="Yu Mincho" w:hAnsi="Arial" w:cs="Arial"/>
                <w:color w:val="000000" w:themeColor="text1"/>
                <w:sz w:val="20"/>
                <w:szCs w:val="20"/>
                <w:lang w:eastAsia="ja-JP"/>
              </w:rPr>
            </w:pPr>
            <w:r>
              <w:rPr>
                <w:rFonts w:ascii="Arial" w:eastAsia="Yu Mincho" w:hAnsi="Arial" w:cs="Arial" w:hint="eastAsia"/>
                <w:color w:val="000000" w:themeColor="text1"/>
                <w:sz w:val="20"/>
                <w:szCs w:val="20"/>
                <w:lang w:eastAsia="ja-JP"/>
              </w:rPr>
              <w:t>Party A</w:t>
            </w:r>
          </w:p>
        </w:tc>
      </w:tr>
      <w:tr w:rsidR="00633A34" w:rsidRPr="004304C8" w14:paraId="2AD1880B" w14:textId="77777777" w:rsidTr="11B68952">
        <w:trPr>
          <w:trHeight w:val="800"/>
        </w:trPr>
        <w:tc>
          <w:tcPr>
            <w:tcW w:w="2795" w:type="dxa"/>
            <w:shd w:val="clear" w:color="auto" w:fill="D9E2F3" w:themeFill="accent1" w:themeFillTint="33"/>
            <w:noWrap/>
          </w:tcPr>
          <w:p w14:paraId="6BE0C94B" w14:textId="70AA6F5B" w:rsidR="00633A34" w:rsidRPr="004365B0" w:rsidRDefault="00633A34" w:rsidP="00633A34">
            <w:pPr>
              <w:spacing w:before="60" w:after="60"/>
              <w:rPr>
                <w:rFonts w:ascii="Arial" w:eastAsia="Times New Roman" w:hAnsi="Arial" w:cs="Arial"/>
                <w:color w:val="000000" w:themeColor="text1"/>
                <w:sz w:val="20"/>
                <w:szCs w:val="20"/>
              </w:rPr>
            </w:pPr>
            <w:r w:rsidRPr="00FB00E4">
              <w:rPr>
                <w:rFonts w:ascii="Arial" w:eastAsia="Yu Mincho" w:hAnsi="Arial" w:cs="Arial"/>
                <w:color w:val="000000" w:themeColor="text1"/>
                <w:sz w:val="20"/>
                <w:szCs w:val="20"/>
                <w:lang w:eastAsia="ja-JP"/>
              </w:rPr>
              <w:t>Floating Amount Payer</w:t>
            </w:r>
            <w:r>
              <w:rPr>
                <w:rFonts w:ascii="Arial" w:eastAsia="Yu Mincho" w:hAnsi="Arial" w:cs="Arial"/>
                <w:color w:val="000000" w:themeColor="text1"/>
                <w:sz w:val="20"/>
                <w:szCs w:val="20"/>
                <w:lang w:eastAsia="ja-JP"/>
              </w:rPr>
              <w:t xml:space="preserve"> </w:t>
            </w:r>
            <w:r w:rsidRPr="00FB00E4">
              <w:rPr>
                <w:rFonts w:ascii="Arial" w:hAnsi="Arial" w:cs="Arial"/>
                <w:sz w:val="20"/>
                <w:szCs w:val="20"/>
              </w:rPr>
              <w:t>I</w:t>
            </w:r>
            <w:r>
              <w:rPr>
                <w:rFonts w:ascii="Arial" w:eastAsia="Yu Mincho" w:hAnsi="Arial" w:cs="Arial" w:hint="eastAsia"/>
                <w:color w:val="000000" w:themeColor="text1"/>
                <w:sz w:val="20"/>
                <w:szCs w:val="20"/>
                <w:lang w:eastAsia="ja-JP"/>
              </w:rPr>
              <w:t xml:space="preserve"> Floating Rate</w:t>
            </w:r>
          </w:p>
        </w:tc>
        <w:tc>
          <w:tcPr>
            <w:tcW w:w="6565" w:type="dxa"/>
          </w:tcPr>
          <w:p w14:paraId="0CBA80D6" w14:textId="6BC093B9" w:rsidR="00633A34" w:rsidRDefault="00633A34" w:rsidP="00633A34">
            <w:pPr>
              <w:spacing w:after="80"/>
              <w:jc w:val="both"/>
              <w:rPr>
                <w:rFonts w:ascii="Arial" w:hAnsi="Arial" w:cs="Arial"/>
                <w:sz w:val="20"/>
                <w:szCs w:val="20"/>
                <w:lang w:eastAsia="ja-JP"/>
              </w:rPr>
            </w:pPr>
            <w:r w:rsidRPr="000C1878">
              <w:rPr>
                <w:rFonts w:ascii="Arial" w:hAnsi="Arial" w:cs="Arial"/>
                <w:sz w:val="20"/>
                <w:szCs w:val="20"/>
              </w:rPr>
              <w:t>Compounded SOFR plus Margin.</w:t>
            </w:r>
          </w:p>
          <w:p w14:paraId="29974226" w14:textId="7F789F96" w:rsidR="00633A34" w:rsidRPr="004304C8" w:rsidRDefault="00633A34" w:rsidP="00633A34">
            <w:pPr>
              <w:spacing w:before="60" w:after="60"/>
              <w:rPr>
                <w:rFonts w:ascii="Arial" w:eastAsia="Times New Roman" w:hAnsi="Arial" w:cs="Arial"/>
                <w:color w:val="000000" w:themeColor="text1"/>
                <w:sz w:val="20"/>
                <w:szCs w:val="20"/>
                <w:lang w:eastAsia="ja-JP"/>
              </w:rPr>
            </w:pPr>
            <w:r w:rsidRPr="007B7AB2">
              <w:rPr>
                <w:rFonts w:ascii="Arial" w:hAnsi="Arial" w:cs="Arial"/>
                <w:b/>
                <w:bCs/>
                <w:sz w:val="20"/>
                <w:szCs w:val="20"/>
              </w:rPr>
              <w:t xml:space="preserve">For the avoidance of doubt the interest on swap </w:t>
            </w:r>
            <w:r>
              <w:rPr>
                <w:rFonts w:ascii="Arial" w:hAnsi="Arial" w:cs="Arial"/>
                <w:b/>
                <w:bCs/>
                <w:sz w:val="20"/>
                <w:szCs w:val="20"/>
              </w:rPr>
              <w:t>is</w:t>
            </w:r>
            <w:r w:rsidRPr="007B7AB2">
              <w:rPr>
                <w:rFonts w:ascii="Arial" w:hAnsi="Arial" w:cs="Arial"/>
                <w:b/>
                <w:bCs/>
                <w:sz w:val="20"/>
                <w:szCs w:val="20"/>
              </w:rPr>
              <w:t xml:space="preserve"> not floored at 0%</w:t>
            </w:r>
          </w:p>
        </w:tc>
      </w:tr>
      <w:tr w:rsidR="00633A34" w:rsidRPr="004304C8" w14:paraId="0B13C2B7" w14:textId="77777777" w:rsidTr="11B68952">
        <w:trPr>
          <w:trHeight w:val="2213"/>
        </w:trPr>
        <w:tc>
          <w:tcPr>
            <w:tcW w:w="2795" w:type="dxa"/>
            <w:shd w:val="clear" w:color="auto" w:fill="D9E2F3" w:themeFill="accent1" w:themeFillTint="33"/>
            <w:noWrap/>
          </w:tcPr>
          <w:p w14:paraId="6EF71916" w14:textId="4472B8C3" w:rsidR="00633A34" w:rsidRPr="004365B0" w:rsidRDefault="00633A34" w:rsidP="00633A34">
            <w:pPr>
              <w:spacing w:before="60" w:after="60"/>
              <w:rPr>
                <w:rFonts w:ascii="Arial" w:eastAsia="Yu Mincho" w:hAnsi="Arial" w:cs="Arial"/>
                <w:color w:val="000000" w:themeColor="text1"/>
                <w:sz w:val="20"/>
                <w:szCs w:val="20"/>
                <w:lang w:eastAsia="ja-JP"/>
              </w:rPr>
            </w:pPr>
            <w:r w:rsidRPr="004365B0">
              <w:rPr>
                <w:rFonts w:ascii="Arial" w:eastAsia="Times New Roman" w:hAnsi="Arial" w:cs="Arial"/>
                <w:color w:val="000000" w:themeColor="text1"/>
                <w:sz w:val="20"/>
                <w:szCs w:val="20"/>
              </w:rPr>
              <w:t xml:space="preserve">Floating Amount </w:t>
            </w:r>
            <w:r w:rsidRPr="004365B0">
              <w:rPr>
                <w:rFonts w:ascii="Arial" w:hAnsi="Arial" w:cs="Arial"/>
                <w:sz w:val="20"/>
                <w:szCs w:val="20"/>
              </w:rPr>
              <w:t>I</w:t>
            </w:r>
          </w:p>
        </w:tc>
        <w:tc>
          <w:tcPr>
            <w:tcW w:w="6565" w:type="dxa"/>
          </w:tcPr>
          <w:p w14:paraId="2FCEA071" w14:textId="77777777" w:rsidR="00970FD8" w:rsidRPr="004365B0" w:rsidRDefault="00970FD8" w:rsidP="004365B0">
            <w:pPr>
              <w:spacing w:after="60"/>
              <w:jc w:val="both"/>
              <w:rPr>
                <w:rFonts w:ascii="Arial" w:eastAsia="Times New Roman" w:hAnsi="Arial" w:cs="Arial"/>
                <w:color w:val="000000" w:themeColor="text1"/>
                <w:sz w:val="20"/>
                <w:szCs w:val="20"/>
              </w:rPr>
            </w:pPr>
            <w:r w:rsidRPr="004365B0">
              <w:rPr>
                <w:rFonts w:ascii="Arial" w:eastAsia="Times New Roman" w:hAnsi="Arial" w:cs="Arial"/>
                <w:color w:val="000000" w:themeColor="text1"/>
                <w:sz w:val="20"/>
                <w:szCs w:val="20"/>
              </w:rPr>
              <w:t xml:space="preserve">The </w:t>
            </w:r>
            <w:r w:rsidRPr="004365B0">
              <w:rPr>
                <w:rFonts w:ascii="Arial" w:eastAsia="Yu Mincho" w:hAnsi="Arial" w:cs="Arial" w:hint="eastAsia"/>
                <w:color w:val="000000" w:themeColor="text1"/>
                <w:sz w:val="20"/>
                <w:szCs w:val="20"/>
                <w:lang w:eastAsia="ja-JP"/>
              </w:rPr>
              <w:t xml:space="preserve">Floating </w:t>
            </w:r>
            <w:r w:rsidRPr="004365B0">
              <w:rPr>
                <w:rFonts w:ascii="Arial" w:eastAsia="Times New Roman" w:hAnsi="Arial" w:cs="Arial"/>
                <w:color w:val="000000" w:themeColor="text1"/>
                <w:sz w:val="20"/>
                <w:szCs w:val="20"/>
              </w:rPr>
              <w:t xml:space="preserve">Amount </w:t>
            </w:r>
            <w:r w:rsidRPr="004365B0">
              <w:rPr>
                <w:rFonts w:ascii="Arial" w:hAnsi="Arial" w:cs="Arial"/>
                <w:sz w:val="20"/>
                <w:szCs w:val="20"/>
              </w:rPr>
              <w:t>I</w:t>
            </w:r>
            <w:r w:rsidRPr="004365B0">
              <w:rPr>
                <w:rFonts w:ascii="Arial" w:eastAsia="Yu Mincho" w:hAnsi="Arial" w:cs="Arial" w:hint="eastAsia"/>
                <w:color w:val="000000" w:themeColor="text1"/>
                <w:sz w:val="20"/>
                <w:szCs w:val="20"/>
                <w:lang w:eastAsia="ja-JP"/>
              </w:rPr>
              <w:t xml:space="preserve"> </w:t>
            </w:r>
            <w:r w:rsidRPr="004365B0">
              <w:rPr>
                <w:rFonts w:ascii="Arial" w:eastAsia="Times New Roman" w:hAnsi="Arial" w:cs="Arial"/>
                <w:color w:val="000000" w:themeColor="text1"/>
                <w:sz w:val="20"/>
                <w:szCs w:val="20"/>
              </w:rPr>
              <w:t xml:space="preserve">for the relevant </w:t>
            </w:r>
            <w:r w:rsidRPr="004365B0">
              <w:rPr>
                <w:rFonts w:ascii="Arial" w:eastAsia="Yu Mincho" w:hAnsi="Arial" w:cs="Arial" w:hint="eastAsia"/>
                <w:color w:val="000000" w:themeColor="text1"/>
                <w:sz w:val="20"/>
                <w:szCs w:val="20"/>
                <w:lang w:eastAsia="ja-JP"/>
              </w:rPr>
              <w:t>Floating</w:t>
            </w:r>
            <w:r w:rsidRPr="004365B0">
              <w:rPr>
                <w:rFonts w:ascii="Arial" w:eastAsia="Times New Roman" w:hAnsi="Arial" w:cs="Arial"/>
                <w:color w:val="000000" w:themeColor="text1"/>
                <w:sz w:val="20"/>
                <w:szCs w:val="20"/>
              </w:rPr>
              <w:t xml:space="preserve"> Amount Calculation Period shall be</w:t>
            </w:r>
            <w:r w:rsidRPr="004365B0">
              <w:rPr>
                <w:rFonts w:ascii="Arial" w:hAnsi="Arial"/>
                <w:color w:val="000000" w:themeColor="text1"/>
                <w:sz w:val="20"/>
              </w:rPr>
              <w:t xml:space="preserve"> </w:t>
            </w:r>
            <w:r w:rsidRPr="004365B0">
              <w:rPr>
                <w:rFonts w:ascii="Arial" w:eastAsia="Times New Roman" w:hAnsi="Arial" w:cs="Arial"/>
                <w:color w:val="000000" w:themeColor="text1"/>
                <w:sz w:val="20"/>
                <w:szCs w:val="20"/>
              </w:rPr>
              <w:t>calculated as follows:</w:t>
            </w:r>
          </w:p>
          <w:p w14:paraId="24EDC8D3" w14:textId="77777777" w:rsidR="00970FD8" w:rsidRPr="00BA3249" w:rsidRDefault="00970FD8" w:rsidP="00970FD8">
            <w:pPr>
              <w:tabs>
                <w:tab w:val="left" w:pos="2980"/>
              </w:tabs>
              <w:spacing w:before="160" w:after="60"/>
              <w:rPr>
                <w:rFonts w:ascii="Arial" w:eastAsia="Times New Roman" w:hAnsi="Arial" w:cs="Arial"/>
                <w:b/>
                <w:bCs/>
                <w:color w:val="000000" w:themeColor="text1"/>
                <w:sz w:val="20"/>
                <w:szCs w:val="20"/>
              </w:rPr>
            </w:pPr>
            <w:r w:rsidRPr="00BA3249">
              <w:rPr>
                <w:rFonts w:ascii="Arial" w:eastAsia="Times New Roman" w:hAnsi="Arial" w:cs="Arial"/>
                <w:b/>
                <w:bCs/>
                <w:color w:val="000000" w:themeColor="text1"/>
                <w:sz w:val="20"/>
                <w:szCs w:val="20"/>
              </w:rPr>
              <w:t xml:space="preserve">Specified Denomination x </w:t>
            </w:r>
            <w:r w:rsidRPr="00BA3249">
              <w:rPr>
                <w:rFonts w:ascii="Arial" w:eastAsia="Yu Mincho" w:hAnsi="Arial" w:cs="Arial" w:hint="eastAsia"/>
                <w:b/>
                <w:bCs/>
                <w:color w:val="000000" w:themeColor="text1"/>
                <w:sz w:val="20"/>
                <w:szCs w:val="20"/>
                <w:lang w:eastAsia="ja-JP"/>
              </w:rPr>
              <w:t xml:space="preserve">Floating Amount Payer I Floating Rate </w:t>
            </w:r>
            <w:r w:rsidRPr="00BA3249">
              <w:rPr>
                <w:rFonts w:ascii="Arial" w:eastAsia="Times New Roman" w:hAnsi="Arial" w:cs="Arial"/>
                <w:b/>
                <w:bCs/>
                <w:color w:val="000000" w:themeColor="text1"/>
                <w:sz w:val="20"/>
                <w:szCs w:val="20"/>
              </w:rPr>
              <w:t xml:space="preserve">x </w:t>
            </w:r>
            <w:r w:rsidRPr="00BA3249">
              <w:rPr>
                <w:rFonts w:ascii="Arial" w:eastAsia="Yu Mincho" w:hAnsi="Arial" w:cs="Arial" w:hint="eastAsia"/>
                <w:b/>
                <w:bCs/>
                <w:color w:val="000000" w:themeColor="text1"/>
                <w:sz w:val="20"/>
                <w:szCs w:val="20"/>
                <w:lang w:eastAsia="ja-JP"/>
              </w:rPr>
              <w:t xml:space="preserve">Floating Amount Payer I </w:t>
            </w:r>
            <w:r w:rsidRPr="00BA3249">
              <w:rPr>
                <w:rFonts w:ascii="Arial" w:eastAsia="Times New Roman" w:hAnsi="Arial" w:cs="Arial"/>
                <w:b/>
                <w:bCs/>
                <w:color w:val="000000" w:themeColor="text1"/>
                <w:sz w:val="20"/>
                <w:szCs w:val="20"/>
              </w:rPr>
              <w:t xml:space="preserve">Day Count Fraction, rounding, if necessary, the entire resulting figure </w:t>
            </w:r>
            <w:r w:rsidRPr="00BA3249">
              <w:rPr>
                <w:rFonts w:ascii="Arial" w:hAnsi="Arial" w:cs="Arial"/>
                <w:b/>
                <w:bCs/>
                <w:color w:val="000000" w:themeColor="text1"/>
                <w:sz w:val="20"/>
                <w:szCs w:val="20"/>
              </w:rPr>
              <w:t xml:space="preserve">to the nearest </w:t>
            </w:r>
            <w:r w:rsidRPr="00BA3249">
              <w:rPr>
                <w:rFonts w:ascii="Arial" w:eastAsia="Times New Roman" w:hAnsi="Arial" w:cs="Arial"/>
                <w:b/>
                <w:bCs/>
                <w:color w:val="000000" w:themeColor="text1"/>
                <w:sz w:val="20"/>
                <w:szCs w:val="20"/>
              </w:rPr>
              <w:t>cent</w:t>
            </w:r>
            <w:r w:rsidRPr="00BA3249">
              <w:rPr>
                <w:rFonts w:ascii="Arial" w:hAnsi="Arial" w:cs="Arial"/>
                <w:b/>
                <w:bCs/>
                <w:color w:val="000000" w:themeColor="text1"/>
                <w:sz w:val="20"/>
                <w:szCs w:val="20"/>
              </w:rPr>
              <w:t xml:space="preserve"> with </w:t>
            </w:r>
            <w:r w:rsidRPr="00BA3249">
              <w:rPr>
                <w:rFonts w:ascii="Arial" w:hAnsi="Arial" w:cs="Arial" w:hint="eastAsia"/>
                <w:b/>
                <w:bCs/>
                <w:color w:val="000000" w:themeColor="text1"/>
                <w:sz w:val="20"/>
                <w:szCs w:val="20"/>
                <w:lang w:eastAsia="ja-JP"/>
              </w:rPr>
              <w:t>USD</w:t>
            </w:r>
            <w:r w:rsidRPr="00BA3249">
              <w:rPr>
                <w:rFonts w:ascii="Arial" w:hAnsi="Arial" w:cs="Arial"/>
                <w:b/>
                <w:bCs/>
                <w:color w:val="000000" w:themeColor="text1"/>
                <w:sz w:val="20"/>
                <w:szCs w:val="20"/>
              </w:rPr>
              <w:t xml:space="preserve"> 0.005 rounded upwards.</w:t>
            </w:r>
            <w:r w:rsidRPr="00BA3249">
              <w:rPr>
                <w:rFonts w:ascii="Arial" w:eastAsia="Times New Roman" w:hAnsi="Arial" w:cs="Arial"/>
                <w:b/>
                <w:bCs/>
                <w:color w:val="000000" w:themeColor="text1"/>
                <w:sz w:val="20"/>
                <w:szCs w:val="20"/>
              </w:rPr>
              <w:t xml:space="preserve"> </w:t>
            </w:r>
          </w:p>
          <w:p w14:paraId="74DB3CCA" w14:textId="77777777" w:rsidR="00633A34" w:rsidRDefault="00970FD8" w:rsidP="005D24E4">
            <w:pPr>
              <w:tabs>
                <w:tab w:val="left" w:pos="2980"/>
              </w:tabs>
              <w:spacing w:before="160" w:after="60"/>
              <w:rPr>
                <w:rFonts w:ascii="Arial" w:eastAsia="Times New Roman" w:hAnsi="Arial" w:cs="Arial"/>
                <w:b/>
                <w:bCs/>
                <w:color w:val="000000" w:themeColor="text1"/>
                <w:sz w:val="20"/>
                <w:szCs w:val="20"/>
              </w:rPr>
            </w:pPr>
            <w:r w:rsidRPr="00BA3249">
              <w:rPr>
                <w:rFonts w:ascii="Arial" w:eastAsia="Times New Roman" w:hAnsi="Arial" w:cs="Arial"/>
                <w:b/>
                <w:bCs/>
                <w:color w:val="000000" w:themeColor="text1"/>
                <w:sz w:val="20"/>
                <w:szCs w:val="20"/>
              </w:rPr>
              <w:t>The resulting figure shall be multiplied by the Number of Specified Denominations on the Notes.</w:t>
            </w:r>
          </w:p>
          <w:p w14:paraId="188A4207" w14:textId="52424B32" w:rsidR="00843904" w:rsidRPr="005D24E4" w:rsidRDefault="00843904" w:rsidP="005D24E4">
            <w:pPr>
              <w:tabs>
                <w:tab w:val="left" w:pos="2980"/>
              </w:tabs>
              <w:spacing w:before="160" w:after="60"/>
              <w:rPr>
                <w:rFonts w:ascii="Arial" w:eastAsia="Times New Roman" w:hAnsi="Arial" w:cs="Arial"/>
                <w:b/>
                <w:bCs/>
                <w:color w:val="000000" w:themeColor="text1"/>
                <w:sz w:val="20"/>
                <w:szCs w:val="20"/>
              </w:rPr>
            </w:pPr>
          </w:p>
        </w:tc>
      </w:tr>
      <w:tr w:rsidR="00633A34" w:rsidRPr="004304C8" w14:paraId="62D54FAD" w14:textId="77777777" w:rsidTr="11B68952">
        <w:trPr>
          <w:trHeight w:val="290"/>
        </w:trPr>
        <w:tc>
          <w:tcPr>
            <w:tcW w:w="2795" w:type="dxa"/>
            <w:shd w:val="clear" w:color="auto" w:fill="D9E2F3" w:themeFill="accent1" w:themeFillTint="33"/>
            <w:noWrap/>
          </w:tcPr>
          <w:p w14:paraId="7491D608" w14:textId="27214EF2" w:rsidR="00633A34" w:rsidRPr="004365B0" w:rsidRDefault="00633A34" w:rsidP="00633A34">
            <w:pPr>
              <w:spacing w:before="60" w:after="60"/>
              <w:rPr>
                <w:rFonts w:ascii="Arial" w:eastAsia="Yu Mincho" w:hAnsi="Arial" w:cs="Arial"/>
                <w:color w:val="000000" w:themeColor="text1"/>
                <w:sz w:val="20"/>
                <w:szCs w:val="20"/>
                <w:lang w:eastAsia="ja-JP"/>
              </w:rPr>
            </w:pPr>
            <w:r w:rsidRPr="004365B0">
              <w:rPr>
                <w:rFonts w:ascii="Arial" w:hAnsi="Arial"/>
                <w:color w:val="000000" w:themeColor="text1"/>
                <w:sz w:val="20"/>
              </w:rPr>
              <w:t>Specified Denomination</w:t>
            </w:r>
          </w:p>
        </w:tc>
        <w:tc>
          <w:tcPr>
            <w:tcW w:w="6565" w:type="dxa"/>
          </w:tcPr>
          <w:p w14:paraId="19CCDA09" w14:textId="5B34E1BD" w:rsidR="00633A34" w:rsidRPr="004365B0" w:rsidRDefault="00C46A25" w:rsidP="00633A34">
            <w:pPr>
              <w:spacing w:before="60" w:after="60"/>
              <w:rPr>
                <w:rFonts w:ascii="Arial" w:eastAsia="Times New Roman" w:hAnsi="Arial" w:cs="Arial"/>
                <w:color w:val="000000" w:themeColor="text1"/>
                <w:sz w:val="20"/>
                <w:szCs w:val="20"/>
              </w:rPr>
            </w:pPr>
            <w:r w:rsidRPr="004365B0">
              <w:rPr>
                <w:rFonts w:ascii="Arial" w:hAnsi="Arial"/>
                <w:color w:val="000000" w:themeColor="text1"/>
                <w:sz w:val="20"/>
              </w:rPr>
              <w:t>[Insert data to match the Notes]</w:t>
            </w:r>
          </w:p>
        </w:tc>
      </w:tr>
      <w:tr w:rsidR="00633A34" w:rsidRPr="004304C8" w14:paraId="36D9ECDD" w14:textId="77777777" w:rsidTr="11B68952">
        <w:trPr>
          <w:trHeight w:val="290"/>
        </w:trPr>
        <w:tc>
          <w:tcPr>
            <w:tcW w:w="2795" w:type="dxa"/>
            <w:shd w:val="clear" w:color="auto" w:fill="D9E2F3" w:themeFill="accent1" w:themeFillTint="33"/>
            <w:noWrap/>
          </w:tcPr>
          <w:p w14:paraId="2DC81BB5" w14:textId="431D9D8F" w:rsidR="00633A34" w:rsidRPr="004365B0" w:rsidRDefault="00633A34" w:rsidP="00633A34">
            <w:pPr>
              <w:spacing w:before="60" w:after="60"/>
              <w:rPr>
                <w:rFonts w:ascii="Arial" w:eastAsia="Yu Mincho" w:hAnsi="Arial" w:cs="Arial"/>
                <w:color w:val="000000" w:themeColor="text1"/>
                <w:sz w:val="20"/>
                <w:szCs w:val="20"/>
                <w:lang w:eastAsia="ja-JP"/>
              </w:rPr>
            </w:pPr>
            <w:r w:rsidRPr="004365B0">
              <w:rPr>
                <w:rFonts w:ascii="Arial" w:hAnsi="Arial"/>
                <w:color w:val="000000" w:themeColor="text1"/>
                <w:sz w:val="20"/>
              </w:rPr>
              <w:t>Number of Specified Denominations</w:t>
            </w:r>
          </w:p>
        </w:tc>
        <w:tc>
          <w:tcPr>
            <w:tcW w:w="6565" w:type="dxa"/>
          </w:tcPr>
          <w:p w14:paraId="70DBAF1D" w14:textId="62325668" w:rsidR="00633A34" w:rsidRPr="004365B0" w:rsidRDefault="00633A34" w:rsidP="00633A34">
            <w:pPr>
              <w:spacing w:before="60" w:after="60"/>
              <w:rPr>
                <w:rFonts w:ascii="Arial" w:eastAsia="Times New Roman" w:hAnsi="Arial" w:cs="Arial"/>
                <w:color w:val="000000" w:themeColor="text1"/>
                <w:sz w:val="20"/>
                <w:szCs w:val="20"/>
              </w:rPr>
            </w:pPr>
            <w:r w:rsidRPr="004365B0">
              <w:rPr>
                <w:rFonts w:ascii="Arial" w:hAnsi="Arial"/>
                <w:color w:val="000000" w:themeColor="text1"/>
                <w:sz w:val="20"/>
              </w:rPr>
              <w:t>[Insert data to match the Notes]</w:t>
            </w:r>
          </w:p>
        </w:tc>
      </w:tr>
      <w:tr w:rsidR="00633A34" w:rsidRPr="004304C8" w14:paraId="7383CA05" w14:textId="77777777" w:rsidTr="11B68952">
        <w:trPr>
          <w:trHeight w:val="290"/>
        </w:trPr>
        <w:tc>
          <w:tcPr>
            <w:tcW w:w="2795" w:type="dxa"/>
            <w:shd w:val="clear" w:color="auto" w:fill="D9E2F3" w:themeFill="accent1" w:themeFillTint="33"/>
            <w:noWrap/>
          </w:tcPr>
          <w:p w14:paraId="239D0970" w14:textId="5B9B499A" w:rsidR="00633A34" w:rsidRDefault="00633A34" w:rsidP="00633A34">
            <w:pPr>
              <w:spacing w:before="60" w:after="60"/>
              <w:rPr>
                <w:rFonts w:ascii="Arial" w:eastAsia="Yu Mincho" w:hAnsi="Arial" w:cs="Arial"/>
                <w:color w:val="000000" w:themeColor="text1"/>
                <w:sz w:val="20"/>
                <w:szCs w:val="20"/>
                <w:lang w:eastAsia="ja-JP"/>
              </w:rPr>
            </w:pPr>
            <w:r w:rsidRPr="00FB00E4">
              <w:rPr>
                <w:rFonts w:ascii="Arial" w:eastAsia="Yu Mincho" w:hAnsi="Arial" w:cs="Arial"/>
                <w:color w:val="000000" w:themeColor="text1"/>
                <w:sz w:val="20"/>
                <w:szCs w:val="20"/>
                <w:lang w:eastAsia="ja-JP"/>
              </w:rPr>
              <w:t>Floating Amount Payer</w:t>
            </w:r>
            <w:r>
              <w:rPr>
                <w:rFonts w:ascii="Arial" w:eastAsia="Yu Mincho" w:hAnsi="Arial" w:cs="Arial"/>
                <w:color w:val="000000" w:themeColor="text1"/>
                <w:sz w:val="20"/>
                <w:szCs w:val="20"/>
                <w:lang w:eastAsia="ja-JP"/>
              </w:rPr>
              <w:t xml:space="preserve"> </w:t>
            </w:r>
            <w:r w:rsidRPr="00FB00E4">
              <w:rPr>
                <w:rFonts w:ascii="Arial" w:hAnsi="Arial" w:cs="Arial"/>
                <w:sz w:val="20"/>
                <w:szCs w:val="20"/>
              </w:rPr>
              <w:t>I</w:t>
            </w:r>
            <w:r>
              <w:rPr>
                <w:rFonts w:ascii="Arial" w:eastAsia="Times New Roman" w:hAnsi="Arial" w:cs="Arial"/>
                <w:color w:val="000000" w:themeColor="text1"/>
                <w:sz w:val="20"/>
                <w:szCs w:val="20"/>
              </w:rPr>
              <w:t xml:space="preserve"> Floating Rate Option</w:t>
            </w:r>
          </w:p>
        </w:tc>
        <w:tc>
          <w:tcPr>
            <w:tcW w:w="6565" w:type="dxa"/>
          </w:tcPr>
          <w:p w14:paraId="2232D7C0" w14:textId="2DC73568" w:rsidR="003C7375" w:rsidRDefault="00F23AC5" w:rsidP="00B70114">
            <w:pPr>
              <w:spacing w:before="60" w:after="60"/>
              <w:rPr>
                <w:rFonts w:ascii="Arial" w:hAnsi="Arial" w:cs="Arial"/>
                <w:sz w:val="20"/>
                <w:szCs w:val="20"/>
              </w:rPr>
            </w:pPr>
            <w:r w:rsidRPr="00F23AC5">
              <w:rPr>
                <w:rFonts w:ascii="Arial" w:hAnsi="Arial" w:cs="Arial"/>
                <w:sz w:val="20"/>
                <w:szCs w:val="20"/>
              </w:rPr>
              <w:t xml:space="preserve">Compounded SOFR </w:t>
            </w:r>
            <w:r w:rsidR="003C7375">
              <w:rPr>
                <w:rFonts w:ascii="Arial" w:hAnsi="Arial" w:cs="Arial"/>
                <w:sz w:val="20"/>
                <w:szCs w:val="20"/>
              </w:rPr>
              <w:t>as defined in, and subject to the fallback provisions below set forth below</w:t>
            </w:r>
            <w:r w:rsidR="00C37366">
              <w:rPr>
                <w:rFonts w:ascii="Arial" w:hAnsi="Arial" w:cs="Arial"/>
                <w:sz w:val="20"/>
                <w:szCs w:val="20"/>
              </w:rPr>
              <w:t>.</w:t>
            </w:r>
          </w:p>
          <w:p w14:paraId="373C8ACF" w14:textId="60F7FC0E" w:rsidR="005571E8" w:rsidRDefault="005571E8" w:rsidP="00B70114">
            <w:pPr>
              <w:spacing w:before="60" w:after="60"/>
              <w:rPr>
                <w:rFonts w:ascii="Arial" w:hAnsi="Arial" w:cs="Arial"/>
                <w:sz w:val="20"/>
                <w:szCs w:val="20"/>
              </w:rPr>
            </w:pPr>
            <w:r>
              <w:rPr>
                <w:rFonts w:ascii="Arial" w:hAnsi="Arial" w:cs="Arial"/>
                <w:sz w:val="20"/>
                <w:szCs w:val="20"/>
              </w:rPr>
              <w:t xml:space="preserve">For the avoidance of doubt, Compounded SOFR incorporates an observation shift and lookback of 5 U.S Government Securities </w:t>
            </w:r>
            <w:r w:rsidR="009A19A1">
              <w:rPr>
                <w:rFonts w:ascii="Arial" w:hAnsi="Arial" w:cs="Arial"/>
                <w:sz w:val="20"/>
                <w:szCs w:val="20"/>
              </w:rPr>
              <w:t>Business Days.</w:t>
            </w:r>
          </w:p>
          <w:p w14:paraId="5A7FCA61" w14:textId="59D2C523" w:rsidR="00633A34" w:rsidRPr="004304C8" w:rsidRDefault="00633A34" w:rsidP="00B70114">
            <w:pPr>
              <w:spacing w:before="60" w:after="60"/>
              <w:rPr>
                <w:rFonts w:ascii="Arial" w:eastAsia="Times New Roman" w:hAnsi="Arial" w:cs="Arial"/>
                <w:color w:val="000000" w:themeColor="text1"/>
                <w:sz w:val="20"/>
                <w:szCs w:val="20"/>
              </w:rPr>
            </w:pPr>
          </w:p>
        </w:tc>
      </w:tr>
      <w:tr w:rsidR="00633A34" w:rsidRPr="004304C8" w14:paraId="3D35EF11" w14:textId="77777777" w:rsidTr="11B68952">
        <w:trPr>
          <w:trHeight w:val="290"/>
        </w:trPr>
        <w:tc>
          <w:tcPr>
            <w:tcW w:w="2795" w:type="dxa"/>
            <w:shd w:val="clear" w:color="auto" w:fill="D9E2F3" w:themeFill="accent1" w:themeFillTint="33"/>
            <w:noWrap/>
          </w:tcPr>
          <w:p w14:paraId="5E3F7364" w14:textId="358779F6" w:rsidR="00633A34" w:rsidRDefault="003D2B18" w:rsidP="00633A34">
            <w:pPr>
              <w:spacing w:before="60" w:after="60"/>
              <w:rPr>
                <w:rFonts w:ascii="Arial" w:eastAsia="Yu Mincho" w:hAnsi="Arial" w:cs="Arial"/>
                <w:color w:val="000000" w:themeColor="text1"/>
                <w:sz w:val="20"/>
                <w:szCs w:val="20"/>
                <w:lang w:eastAsia="ja-JP"/>
              </w:rPr>
            </w:pPr>
            <w:r>
              <w:rPr>
                <w:rFonts w:ascii="Arial" w:eastAsia="Yu Mincho" w:hAnsi="Arial" w:cs="Arial" w:hint="eastAsia"/>
                <w:color w:val="000000" w:themeColor="text1"/>
                <w:sz w:val="20"/>
                <w:szCs w:val="20"/>
                <w:lang w:eastAsia="ja-JP"/>
              </w:rPr>
              <w:t>Margin</w:t>
            </w:r>
          </w:p>
        </w:tc>
        <w:tc>
          <w:tcPr>
            <w:tcW w:w="6565" w:type="dxa"/>
          </w:tcPr>
          <w:p w14:paraId="433AAE1A" w14:textId="6A65C8E1" w:rsidR="00633A34" w:rsidRPr="004304C8" w:rsidRDefault="00843904" w:rsidP="00633A34">
            <w:pPr>
              <w:spacing w:before="60" w:after="6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w:t>
            </w:r>
            <w:r w:rsidR="00210D0C">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w:t>
            </w:r>
            <w:r w:rsidR="00633A34" w:rsidRPr="004304C8">
              <w:rPr>
                <w:rFonts w:ascii="Arial" w:eastAsia="Times New Roman" w:hAnsi="Arial" w:cs="Arial"/>
                <w:color w:val="000000" w:themeColor="text1"/>
                <w:sz w:val="20"/>
                <w:szCs w:val="20"/>
              </w:rPr>
              <w:t xml:space="preserve"> bps</w:t>
            </w:r>
          </w:p>
        </w:tc>
      </w:tr>
      <w:tr w:rsidR="00633A34" w:rsidRPr="004304C8" w14:paraId="12C20480" w14:textId="77777777" w:rsidTr="11B68952">
        <w:trPr>
          <w:trHeight w:val="290"/>
        </w:trPr>
        <w:tc>
          <w:tcPr>
            <w:tcW w:w="2795" w:type="dxa"/>
            <w:shd w:val="clear" w:color="auto" w:fill="D9E2F3" w:themeFill="accent1" w:themeFillTint="33"/>
            <w:noWrap/>
          </w:tcPr>
          <w:p w14:paraId="118C5C4C" w14:textId="6A89DDF6" w:rsidR="00633A34" w:rsidRPr="00DB01E9" w:rsidRDefault="00633A34" w:rsidP="00633A34">
            <w:pPr>
              <w:spacing w:before="60" w:after="60"/>
              <w:rPr>
                <w:rFonts w:ascii="Arial" w:eastAsia="Yu Mincho" w:hAnsi="Arial" w:cs="Arial"/>
                <w:color w:val="000000" w:themeColor="text1"/>
                <w:sz w:val="20"/>
                <w:szCs w:val="20"/>
                <w:lang w:eastAsia="ja-JP"/>
              </w:rPr>
            </w:pPr>
            <w:r>
              <w:rPr>
                <w:rFonts w:ascii="Arial" w:eastAsia="Yu Mincho" w:hAnsi="Arial" w:cs="Arial" w:hint="eastAsia"/>
                <w:color w:val="000000" w:themeColor="text1"/>
                <w:sz w:val="20"/>
                <w:szCs w:val="20"/>
                <w:lang w:eastAsia="ja-JP"/>
              </w:rPr>
              <w:lastRenderedPageBreak/>
              <w:t>Reset Dates</w:t>
            </w:r>
          </w:p>
        </w:tc>
        <w:tc>
          <w:tcPr>
            <w:tcW w:w="6565" w:type="dxa"/>
          </w:tcPr>
          <w:p w14:paraId="50BD8C73" w14:textId="18126B95" w:rsidR="00633A34" w:rsidRPr="000D249E" w:rsidRDefault="00633A34" w:rsidP="00633A34">
            <w:pPr>
              <w:spacing w:before="60" w:after="60"/>
              <w:rPr>
                <w:rFonts w:ascii="Arial" w:hAnsi="Arial" w:cs="Arial"/>
                <w:sz w:val="20"/>
                <w:szCs w:val="20"/>
              </w:rPr>
            </w:pPr>
            <w:r w:rsidRPr="004304C8">
              <w:rPr>
                <w:rFonts w:ascii="Arial" w:eastAsia="Times New Roman" w:hAnsi="Arial" w:cs="Arial"/>
                <w:color w:val="000000" w:themeColor="text1"/>
                <w:sz w:val="20"/>
                <w:szCs w:val="20"/>
              </w:rPr>
              <w:t>The last day of each Calculation Period</w:t>
            </w:r>
          </w:p>
        </w:tc>
      </w:tr>
      <w:tr w:rsidR="00812334" w:rsidRPr="004304C8" w14:paraId="05242AF4" w14:textId="77777777" w:rsidTr="11B68952">
        <w:trPr>
          <w:trHeight w:val="290"/>
        </w:trPr>
        <w:tc>
          <w:tcPr>
            <w:tcW w:w="2795" w:type="dxa"/>
            <w:shd w:val="clear" w:color="auto" w:fill="D9E2F3" w:themeFill="accent1" w:themeFillTint="33"/>
            <w:noWrap/>
          </w:tcPr>
          <w:p w14:paraId="357C6A91" w14:textId="6961CE01" w:rsidR="00812334" w:rsidRPr="004365B0" w:rsidRDefault="00812334" w:rsidP="00633A34">
            <w:pPr>
              <w:spacing w:before="60" w:after="60"/>
              <w:rPr>
                <w:rFonts w:ascii="Arial" w:eastAsia="Yu Mincho" w:hAnsi="Arial" w:cs="Arial"/>
                <w:color w:val="000000" w:themeColor="text1"/>
                <w:sz w:val="20"/>
                <w:szCs w:val="20"/>
                <w:lang w:eastAsia="ja-JP"/>
              </w:rPr>
            </w:pPr>
            <w:r>
              <w:rPr>
                <w:rFonts w:ascii="ArialMT" w:hAnsi="ArialMT" w:cs="ArialMT"/>
                <w:sz w:val="20"/>
                <w:szCs w:val="20"/>
              </w:rPr>
              <w:t xml:space="preserve">Compounding </w:t>
            </w:r>
          </w:p>
        </w:tc>
        <w:tc>
          <w:tcPr>
            <w:tcW w:w="6565" w:type="dxa"/>
          </w:tcPr>
          <w:p w14:paraId="0111061D" w14:textId="6828EFFA" w:rsidR="00812334" w:rsidRPr="004304C8" w:rsidRDefault="00812334" w:rsidP="00732BB3">
            <w:pPr>
              <w:spacing w:before="60" w:after="60"/>
              <w:rPr>
                <w:rFonts w:ascii="Arial" w:eastAsia="Times New Roman" w:hAnsi="Arial" w:cs="Arial"/>
                <w:color w:val="000000" w:themeColor="text1"/>
                <w:sz w:val="20"/>
                <w:szCs w:val="20"/>
              </w:rPr>
            </w:pPr>
            <w:r>
              <w:rPr>
                <w:rFonts w:ascii="ArialMT" w:hAnsi="ArialMT" w:cs="ArialMT"/>
                <w:sz w:val="20"/>
                <w:szCs w:val="20"/>
              </w:rPr>
              <w:t>Inapplicable</w:t>
            </w:r>
          </w:p>
        </w:tc>
      </w:tr>
      <w:tr w:rsidR="00812334" w:rsidRPr="004304C8" w14:paraId="012576DB" w14:textId="77777777" w:rsidTr="11B68952">
        <w:trPr>
          <w:trHeight w:val="290"/>
        </w:trPr>
        <w:tc>
          <w:tcPr>
            <w:tcW w:w="2795" w:type="dxa"/>
            <w:shd w:val="clear" w:color="auto" w:fill="D9E2F3" w:themeFill="accent1" w:themeFillTint="33"/>
            <w:noWrap/>
          </w:tcPr>
          <w:p w14:paraId="74D5CD75" w14:textId="4D1792F1" w:rsidR="00812334" w:rsidRPr="00981FF4" w:rsidDel="000F7E0F" w:rsidRDefault="00812334" w:rsidP="00633A34">
            <w:pPr>
              <w:spacing w:before="60" w:after="60"/>
              <w:rPr>
                <w:rFonts w:ascii="Arial" w:hAnsi="Arial" w:cs="Arial"/>
                <w:color w:val="000000"/>
                <w:sz w:val="20"/>
                <w:szCs w:val="20"/>
                <w:lang w:eastAsia="ja-JP"/>
              </w:rPr>
            </w:pPr>
            <w:r w:rsidRPr="00FB00E4">
              <w:rPr>
                <w:rFonts w:ascii="Arial" w:eastAsia="Yu Mincho" w:hAnsi="Arial" w:cs="Arial"/>
                <w:color w:val="000000" w:themeColor="text1"/>
                <w:sz w:val="20"/>
                <w:szCs w:val="20"/>
                <w:lang w:eastAsia="ja-JP"/>
              </w:rPr>
              <w:t>Floating Amount Payer</w:t>
            </w:r>
            <w:r>
              <w:rPr>
                <w:rFonts w:ascii="Arial" w:eastAsia="Yu Mincho" w:hAnsi="Arial" w:cs="Arial"/>
                <w:color w:val="000000" w:themeColor="text1"/>
                <w:sz w:val="20"/>
                <w:szCs w:val="20"/>
                <w:lang w:eastAsia="ja-JP"/>
              </w:rPr>
              <w:t xml:space="preserve"> </w:t>
            </w:r>
            <w:r w:rsidRPr="00FB00E4">
              <w:rPr>
                <w:rFonts w:ascii="Arial" w:hAnsi="Arial" w:cs="Arial"/>
                <w:sz w:val="20"/>
                <w:szCs w:val="20"/>
              </w:rPr>
              <w:t>I</w:t>
            </w:r>
            <w:r>
              <w:rPr>
                <w:rFonts w:ascii="Arial" w:hAnsi="Arial" w:cs="Arial"/>
                <w:sz w:val="20"/>
                <w:szCs w:val="20"/>
              </w:rPr>
              <w:t xml:space="preserve"> Interest Period(s)</w:t>
            </w:r>
          </w:p>
        </w:tc>
        <w:tc>
          <w:tcPr>
            <w:tcW w:w="6565" w:type="dxa"/>
          </w:tcPr>
          <w:p w14:paraId="4937EA54" w14:textId="1C6D0091" w:rsidR="00812334" w:rsidRPr="00732BB3" w:rsidRDefault="00812334" w:rsidP="00732BB3">
            <w:pPr>
              <w:spacing w:before="60" w:after="60"/>
              <w:rPr>
                <w:rFonts w:ascii="Arial" w:hAnsi="Arial" w:cs="Arial"/>
                <w:sz w:val="20"/>
                <w:szCs w:val="20"/>
              </w:rPr>
            </w:pPr>
            <w:r w:rsidRPr="00E70B5F">
              <w:rPr>
                <w:rFonts w:ascii="Arial" w:hAnsi="Arial" w:cs="Arial"/>
                <w:sz w:val="20"/>
                <w:szCs w:val="20"/>
                <w:lang w:eastAsia="ja-JP"/>
              </w:rPr>
              <w:t>The period beginning on (and including) the Interest</w:t>
            </w:r>
            <w:r>
              <w:rPr>
                <w:rFonts w:ascii="Arial" w:hAnsi="Arial" w:cs="Arial"/>
                <w:sz w:val="20"/>
                <w:szCs w:val="20"/>
                <w:lang w:eastAsia="ja-JP"/>
              </w:rPr>
              <w:t xml:space="preserve"> </w:t>
            </w:r>
            <w:r w:rsidRPr="00E70B5F">
              <w:rPr>
                <w:rFonts w:ascii="Arial" w:hAnsi="Arial" w:cs="Arial"/>
                <w:sz w:val="20"/>
                <w:szCs w:val="20"/>
                <w:lang w:eastAsia="ja-JP"/>
              </w:rPr>
              <w:t xml:space="preserve">Commencement Date and ending on (but excluding) the </w:t>
            </w:r>
            <w:r>
              <w:rPr>
                <w:rFonts w:ascii="Arial" w:hAnsi="Arial" w:cs="Arial"/>
                <w:sz w:val="20"/>
                <w:szCs w:val="20"/>
                <w:lang w:eastAsia="ja-JP"/>
              </w:rPr>
              <w:t>f</w:t>
            </w:r>
            <w:r w:rsidRPr="00E70B5F">
              <w:rPr>
                <w:rFonts w:ascii="Arial" w:hAnsi="Arial" w:cs="Arial"/>
                <w:sz w:val="20"/>
                <w:szCs w:val="20"/>
                <w:lang w:eastAsia="ja-JP"/>
              </w:rPr>
              <w:t>irst</w:t>
            </w:r>
            <w:r>
              <w:rPr>
                <w:rFonts w:ascii="Arial" w:hAnsi="Arial" w:cs="Arial"/>
                <w:sz w:val="20"/>
                <w:szCs w:val="20"/>
                <w:lang w:eastAsia="ja-JP"/>
              </w:rPr>
              <w:t xml:space="preserve"> </w:t>
            </w:r>
            <w:r w:rsidRPr="00E70B5F">
              <w:rPr>
                <w:rFonts w:ascii="Arial" w:hAnsi="Arial" w:cs="Arial"/>
                <w:sz w:val="20"/>
                <w:szCs w:val="20"/>
                <w:lang w:eastAsia="ja-JP"/>
              </w:rPr>
              <w:t>Interest Payment Date and each successive period beginning</w:t>
            </w:r>
            <w:r>
              <w:rPr>
                <w:rFonts w:ascii="Arial" w:hAnsi="Arial" w:cs="Arial"/>
                <w:sz w:val="20"/>
                <w:szCs w:val="20"/>
                <w:lang w:eastAsia="ja-JP"/>
              </w:rPr>
              <w:t xml:space="preserve"> </w:t>
            </w:r>
            <w:r w:rsidRPr="00E70B5F">
              <w:rPr>
                <w:rFonts w:ascii="Arial" w:hAnsi="Arial" w:cs="Arial"/>
                <w:sz w:val="20"/>
                <w:szCs w:val="20"/>
                <w:lang w:eastAsia="ja-JP"/>
              </w:rPr>
              <w:t>on (and including) a</w:t>
            </w:r>
            <w:r>
              <w:rPr>
                <w:rFonts w:ascii="Arial" w:hAnsi="Arial" w:cs="Arial"/>
                <w:sz w:val="20"/>
                <w:szCs w:val="20"/>
                <w:lang w:eastAsia="ja-JP"/>
              </w:rPr>
              <w:t>n</w:t>
            </w:r>
            <w:r w:rsidRPr="00E70B5F">
              <w:rPr>
                <w:rFonts w:ascii="Arial" w:hAnsi="Arial" w:cs="Arial"/>
                <w:sz w:val="20"/>
                <w:szCs w:val="20"/>
                <w:lang w:eastAsia="ja-JP"/>
              </w:rPr>
              <w:t xml:space="preserve"> Interest Payment Date and</w:t>
            </w:r>
            <w:r>
              <w:rPr>
                <w:rFonts w:ascii="Arial" w:hAnsi="Arial" w:cs="Arial"/>
                <w:sz w:val="20"/>
                <w:szCs w:val="20"/>
                <w:lang w:eastAsia="ja-JP"/>
              </w:rPr>
              <w:t xml:space="preserve"> </w:t>
            </w:r>
            <w:r w:rsidRPr="00E70B5F">
              <w:rPr>
                <w:rFonts w:ascii="Arial" w:hAnsi="Arial" w:cs="Arial"/>
                <w:sz w:val="20"/>
                <w:szCs w:val="20"/>
                <w:lang w:eastAsia="ja-JP"/>
              </w:rPr>
              <w:t>ending on (but excluding) the next</w:t>
            </w:r>
            <w:r>
              <w:rPr>
                <w:rFonts w:ascii="Arial" w:hAnsi="Arial" w:cs="Arial"/>
                <w:sz w:val="20"/>
                <w:szCs w:val="20"/>
                <w:lang w:eastAsia="ja-JP"/>
              </w:rPr>
              <w:t xml:space="preserve"> </w:t>
            </w:r>
            <w:r w:rsidRPr="00E70B5F">
              <w:rPr>
                <w:rFonts w:ascii="Arial" w:hAnsi="Arial" w:cs="Arial"/>
                <w:sz w:val="20"/>
                <w:szCs w:val="20"/>
                <w:lang w:eastAsia="ja-JP"/>
              </w:rPr>
              <w:t>succeeding Interest Payment Date, as each date may be</w:t>
            </w:r>
            <w:r>
              <w:rPr>
                <w:rFonts w:ascii="Arial" w:hAnsi="Arial" w:cs="Arial"/>
                <w:sz w:val="20"/>
                <w:szCs w:val="20"/>
                <w:lang w:eastAsia="ja-JP"/>
              </w:rPr>
              <w:t xml:space="preserve"> a</w:t>
            </w:r>
            <w:r w:rsidRPr="00E70B5F">
              <w:rPr>
                <w:rFonts w:ascii="Arial" w:hAnsi="Arial" w:cs="Arial"/>
                <w:sz w:val="20"/>
                <w:szCs w:val="20"/>
                <w:lang w:eastAsia="ja-JP"/>
              </w:rPr>
              <w:t>djusted in</w:t>
            </w:r>
            <w:r>
              <w:rPr>
                <w:rFonts w:ascii="Arial" w:hAnsi="Arial" w:cs="Arial"/>
                <w:sz w:val="20"/>
                <w:szCs w:val="20"/>
                <w:lang w:eastAsia="ja-JP"/>
              </w:rPr>
              <w:t xml:space="preserve"> </w:t>
            </w:r>
            <w:r w:rsidRPr="00E70B5F">
              <w:rPr>
                <w:rFonts w:ascii="Arial" w:hAnsi="Arial" w:cs="Arial"/>
                <w:sz w:val="20"/>
                <w:szCs w:val="20"/>
                <w:lang w:eastAsia="ja-JP"/>
              </w:rPr>
              <w:t>accordance with the Modified Following Business Day</w:t>
            </w:r>
            <w:r>
              <w:rPr>
                <w:rFonts w:ascii="Arial" w:hAnsi="Arial" w:cs="Arial"/>
                <w:sz w:val="20"/>
                <w:szCs w:val="20"/>
                <w:lang w:eastAsia="ja-JP"/>
              </w:rPr>
              <w:t xml:space="preserve"> </w:t>
            </w:r>
            <w:r w:rsidRPr="00E70B5F">
              <w:rPr>
                <w:rFonts w:ascii="Arial" w:hAnsi="Arial" w:cs="Arial"/>
                <w:sz w:val="20"/>
                <w:szCs w:val="20"/>
                <w:lang w:eastAsia="ja-JP"/>
              </w:rPr>
              <w:t>Convention</w:t>
            </w:r>
          </w:p>
        </w:tc>
      </w:tr>
      <w:tr w:rsidR="00812334" w:rsidRPr="004304C8" w14:paraId="22AFB6B7" w14:textId="77777777" w:rsidTr="11B68952">
        <w:trPr>
          <w:trHeight w:val="290"/>
        </w:trPr>
        <w:tc>
          <w:tcPr>
            <w:tcW w:w="2795" w:type="dxa"/>
            <w:shd w:val="clear" w:color="auto" w:fill="D9E2F3" w:themeFill="accent1" w:themeFillTint="33"/>
            <w:noWrap/>
          </w:tcPr>
          <w:p w14:paraId="6C8E9F5F" w14:textId="6206EB97" w:rsidR="00812334" w:rsidRDefault="00812334" w:rsidP="00633A34">
            <w:pPr>
              <w:spacing w:before="60" w:after="60"/>
              <w:rPr>
                <w:rFonts w:ascii="ArialMT" w:hAnsi="ArialMT" w:cs="ArialMT"/>
                <w:sz w:val="20"/>
                <w:szCs w:val="20"/>
              </w:rPr>
            </w:pPr>
            <w:r w:rsidRPr="00FB00E4">
              <w:rPr>
                <w:rFonts w:ascii="Arial" w:eastAsia="Yu Mincho" w:hAnsi="Arial" w:cs="Arial"/>
                <w:color w:val="000000" w:themeColor="text1"/>
                <w:sz w:val="20"/>
                <w:szCs w:val="20"/>
                <w:lang w:eastAsia="ja-JP"/>
              </w:rPr>
              <w:t>Floating Amount Payer</w:t>
            </w:r>
            <w:r>
              <w:rPr>
                <w:rFonts w:ascii="Arial" w:eastAsia="Yu Mincho" w:hAnsi="Arial" w:cs="Arial"/>
                <w:color w:val="000000" w:themeColor="text1"/>
                <w:sz w:val="20"/>
                <w:szCs w:val="20"/>
                <w:lang w:eastAsia="ja-JP"/>
              </w:rPr>
              <w:t xml:space="preserve"> </w:t>
            </w:r>
            <w:r w:rsidRPr="00FB00E4">
              <w:rPr>
                <w:rFonts w:ascii="Arial" w:hAnsi="Arial" w:cs="Arial"/>
                <w:sz w:val="20"/>
                <w:szCs w:val="20"/>
              </w:rPr>
              <w:t>I</w:t>
            </w:r>
            <w:r>
              <w:rPr>
                <w:rFonts w:ascii="Arial" w:eastAsia="Times New Roman" w:hAnsi="Arial" w:cs="Arial"/>
                <w:color w:val="000000" w:themeColor="text1"/>
                <w:sz w:val="20"/>
                <w:szCs w:val="20"/>
              </w:rPr>
              <w:t xml:space="preserve"> Interest Payment Dates</w:t>
            </w:r>
          </w:p>
        </w:tc>
        <w:tc>
          <w:tcPr>
            <w:tcW w:w="6565" w:type="dxa"/>
          </w:tcPr>
          <w:p w14:paraId="3684E0C5" w14:textId="26786C48" w:rsidR="00812334" w:rsidRDefault="00812334" w:rsidP="001A7395">
            <w:pPr>
              <w:autoSpaceDE w:val="0"/>
              <w:autoSpaceDN w:val="0"/>
              <w:adjustRightInd w:val="0"/>
              <w:rPr>
                <w:rFonts w:ascii="ArialMT" w:hAnsi="ArialMT" w:cs="ArialMT"/>
                <w:sz w:val="20"/>
                <w:szCs w:val="20"/>
              </w:rPr>
            </w:pPr>
            <w:r w:rsidRPr="004304C8">
              <w:rPr>
                <w:rFonts w:ascii="Arial" w:eastAsia="Times New Roman" w:hAnsi="Arial" w:cs="Arial"/>
                <w:color w:val="000000" w:themeColor="text1"/>
                <w:sz w:val="20"/>
                <w:szCs w:val="20"/>
              </w:rPr>
              <w:t xml:space="preserve">Quarterly, every </w:t>
            </w:r>
            <w:r w:rsidRPr="004304C8">
              <w:rPr>
                <w:rFonts w:ascii="Wingdings" w:eastAsia="Wingdings" w:hAnsi="Wingdings" w:cs="Wingdings"/>
                <w:color w:val="000000" w:themeColor="text1"/>
                <w:sz w:val="20"/>
                <w:szCs w:val="20"/>
              </w:rPr>
              <w:t>l</w:t>
            </w:r>
            <w:r>
              <w:rPr>
                <w:rFonts w:ascii="Arial" w:eastAsia="Times New Roman" w:hAnsi="Arial" w:cs="Arial"/>
                <w:sz w:val="20"/>
                <w:szCs w:val="20"/>
              </w:rPr>
              <w:t xml:space="preserve">, </w:t>
            </w:r>
            <w:r w:rsidRPr="004304C8">
              <w:rPr>
                <w:rFonts w:ascii="Wingdings" w:eastAsia="Wingdings" w:hAnsi="Wingdings" w:cs="Wingdings"/>
                <w:color w:val="000000" w:themeColor="text1"/>
                <w:sz w:val="20"/>
                <w:szCs w:val="20"/>
              </w:rPr>
              <w:t>l</w:t>
            </w:r>
            <w:r>
              <w:rPr>
                <w:rFonts w:ascii="Arial" w:eastAsia="Times New Roman" w:hAnsi="Arial" w:cs="Arial"/>
                <w:color w:val="000000" w:themeColor="text1"/>
                <w:sz w:val="20"/>
                <w:szCs w:val="20"/>
              </w:rPr>
              <w:t xml:space="preserve">, </w:t>
            </w:r>
            <w:r w:rsidRPr="004304C8">
              <w:rPr>
                <w:rFonts w:ascii="Wingdings" w:eastAsia="Wingdings" w:hAnsi="Wingdings" w:cs="Wingdings"/>
                <w:color w:val="000000" w:themeColor="text1"/>
                <w:sz w:val="20"/>
                <w:szCs w:val="20"/>
              </w:rPr>
              <w:t>l</w:t>
            </w:r>
            <w:r>
              <w:rPr>
                <w:rFonts w:ascii="Arial" w:eastAsia="Times New Roman" w:hAnsi="Arial" w:cs="Arial"/>
                <w:color w:val="000000" w:themeColor="text1"/>
                <w:sz w:val="20"/>
                <w:szCs w:val="20"/>
              </w:rPr>
              <w:t xml:space="preserve"> </w:t>
            </w:r>
            <w:r w:rsidRPr="00954B9E">
              <w:rPr>
                <w:rFonts w:ascii="Arial" w:eastAsia="Times New Roman" w:hAnsi="Arial" w:cs="Arial"/>
                <w:sz w:val="20"/>
                <w:szCs w:val="20"/>
              </w:rPr>
              <w:t xml:space="preserve">and </w:t>
            </w:r>
            <w:r w:rsidRPr="004304C8">
              <w:rPr>
                <w:rFonts w:ascii="Wingdings" w:eastAsia="Wingdings" w:hAnsi="Wingdings" w:cs="Wingdings"/>
                <w:color w:val="000000" w:themeColor="text1"/>
                <w:sz w:val="20"/>
                <w:szCs w:val="20"/>
              </w:rPr>
              <w:t>l</w:t>
            </w:r>
            <w:r w:rsidRPr="004304C8">
              <w:rPr>
                <w:rFonts w:ascii="Arial" w:eastAsia="Times New Roman" w:hAnsi="Arial" w:cs="Arial"/>
                <w:color w:val="000000" w:themeColor="text1"/>
                <w:sz w:val="20"/>
                <w:szCs w:val="20"/>
              </w:rPr>
              <w:t xml:space="preserve">, each year </w:t>
            </w:r>
            <w:r w:rsidRPr="001064F3">
              <w:rPr>
                <w:rFonts w:ascii="Arial" w:eastAsia="Times New Roman" w:hAnsi="Arial" w:cs="Arial"/>
                <w:color w:val="000000" w:themeColor="text1"/>
                <w:sz w:val="20"/>
                <w:szCs w:val="20"/>
              </w:rPr>
              <w:t xml:space="preserve">commencing </w:t>
            </w:r>
            <w:r w:rsidRPr="004304C8">
              <w:rPr>
                <w:rFonts w:ascii="Arial" w:eastAsia="Times New Roman" w:hAnsi="Arial" w:cs="Arial"/>
                <w:color w:val="000000" w:themeColor="text1"/>
                <w:sz w:val="20"/>
                <w:szCs w:val="20"/>
              </w:rPr>
              <w:t xml:space="preserve">on </w:t>
            </w:r>
            <w:r w:rsidRPr="004304C8">
              <w:rPr>
                <w:rFonts w:ascii="Wingdings" w:eastAsia="Wingdings" w:hAnsi="Wingdings" w:cs="Wingdings"/>
                <w:color w:val="000000" w:themeColor="text1"/>
                <w:sz w:val="20"/>
                <w:szCs w:val="20"/>
              </w:rPr>
              <w:t>l</w:t>
            </w:r>
            <w:r w:rsidRPr="004304C8">
              <w:rPr>
                <w:rFonts w:ascii="Arial" w:eastAsia="Times New Roman" w:hAnsi="Arial" w:cs="Arial"/>
                <w:color w:val="000000" w:themeColor="text1"/>
                <w:sz w:val="20"/>
                <w:szCs w:val="20"/>
              </w:rPr>
              <w:t>, up to and including the Termination Date</w:t>
            </w:r>
          </w:p>
        </w:tc>
      </w:tr>
      <w:tr w:rsidR="00812334" w:rsidRPr="004304C8" w14:paraId="41337EE9" w14:textId="77777777">
        <w:trPr>
          <w:trHeight w:val="290"/>
        </w:trPr>
        <w:tc>
          <w:tcPr>
            <w:tcW w:w="2795" w:type="dxa"/>
            <w:shd w:val="clear" w:color="auto" w:fill="D9E2F3" w:themeFill="accent1" w:themeFillTint="33"/>
            <w:noWrap/>
            <w:vAlign w:val="center"/>
          </w:tcPr>
          <w:p w14:paraId="7C873800" w14:textId="22A92950" w:rsidR="00812334" w:rsidRPr="00981FF4" w:rsidRDefault="00812334" w:rsidP="00E70B5F">
            <w:pPr>
              <w:spacing w:before="60" w:after="60"/>
              <w:rPr>
                <w:rFonts w:ascii="Arial" w:hAnsi="Arial" w:cs="Arial"/>
                <w:color w:val="000000"/>
                <w:sz w:val="20"/>
                <w:szCs w:val="20"/>
                <w:lang w:eastAsia="ja-JP"/>
              </w:rPr>
            </w:pPr>
            <w:r w:rsidRPr="004365B0">
              <w:rPr>
                <w:rFonts w:ascii="Arial" w:eastAsia="Yu Mincho" w:hAnsi="Arial" w:cs="Arial"/>
                <w:color w:val="000000" w:themeColor="text1"/>
                <w:sz w:val="20"/>
                <w:szCs w:val="20"/>
                <w:lang w:eastAsia="ja-JP"/>
              </w:rPr>
              <w:t xml:space="preserve">Floating Amount Payer </w:t>
            </w:r>
            <w:r w:rsidRPr="004365B0">
              <w:rPr>
                <w:rFonts w:ascii="Arial" w:hAnsi="Arial" w:cs="Arial"/>
                <w:sz w:val="20"/>
                <w:szCs w:val="20"/>
              </w:rPr>
              <w:t>I</w:t>
            </w:r>
            <w:r w:rsidRPr="004365B0">
              <w:rPr>
                <w:rFonts w:ascii="Arial" w:hAnsi="Arial" w:cs="Arial"/>
                <w:color w:val="000000"/>
                <w:sz w:val="20"/>
                <w:szCs w:val="20"/>
              </w:rPr>
              <w:t xml:space="preserve">  Day Count Fraction</w:t>
            </w:r>
          </w:p>
        </w:tc>
        <w:tc>
          <w:tcPr>
            <w:tcW w:w="6565" w:type="dxa"/>
            <w:vAlign w:val="center"/>
          </w:tcPr>
          <w:p w14:paraId="6A7C64CA" w14:textId="5390E447" w:rsidR="00812334" w:rsidRDefault="00812334" w:rsidP="00E70B5F">
            <w:pPr>
              <w:spacing w:before="60" w:after="60"/>
              <w:rPr>
                <w:rFonts w:ascii="Arial" w:hAnsi="Arial" w:cs="Arial"/>
                <w:sz w:val="20"/>
                <w:szCs w:val="20"/>
              </w:rPr>
            </w:pPr>
            <w:r w:rsidRPr="000D249E">
              <w:rPr>
                <w:rFonts w:ascii="Arial" w:hAnsi="Arial" w:cs="Arial"/>
                <w:color w:val="000000"/>
                <w:sz w:val="20"/>
                <w:szCs w:val="20"/>
              </w:rPr>
              <w:t>Act/360</w:t>
            </w:r>
          </w:p>
        </w:tc>
      </w:tr>
      <w:tr w:rsidR="00812334" w:rsidRPr="004304C8" w14:paraId="2316B1EA" w14:textId="77777777">
        <w:trPr>
          <w:trHeight w:val="290"/>
        </w:trPr>
        <w:tc>
          <w:tcPr>
            <w:tcW w:w="2795" w:type="dxa"/>
            <w:shd w:val="clear" w:color="auto" w:fill="D9E2F3" w:themeFill="accent1" w:themeFillTint="33"/>
            <w:noWrap/>
          </w:tcPr>
          <w:p w14:paraId="02EE68DB" w14:textId="246E9631" w:rsidR="00812334" w:rsidRPr="00FB00E4" w:rsidRDefault="00812334" w:rsidP="00E70B5F">
            <w:pPr>
              <w:spacing w:before="60" w:after="60"/>
              <w:rPr>
                <w:rFonts w:ascii="Arial" w:eastAsia="Yu Mincho" w:hAnsi="Arial" w:cs="Arial"/>
                <w:color w:val="000000" w:themeColor="text1"/>
                <w:sz w:val="20"/>
                <w:szCs w:val="20"/>
                <w:lang w:eastAsia="ja-JP"/>
              </w:rPr>
            </w:pPr>
            <w:r>
              <w:rPr>
                <w:rFonts w:ascii="Arial" w:eastAsia="Times New Roman" w:hAnsi="Arial" w:cs="Arial"/>
                <w:color w:val="000000" w:themeColor="text1"/>
                <w:sz w:val="20"/>
                <w:szCs w:val="20"/>
              </w:rPr>
              <w:t>Business Day Convention</w:t>
            </w:r>
          </w:p>
        </w:tc>
        <w:tc>
          <w:tcPr>
            <w:tcW w:w="6565" w:type="dxa"/>
          </w:tcPr>
          <w:p w14:paraId="0F3944F2" w14:textId="18700DFB" w:rsidR="00812334" w:rsidRDefault="00812334" w:rsidP="00E70B5F">
            <w:pPr>
              <w:spacing w:before="60" w:after="60"/>
              <w:rPr>
                <w:rFonts w:ascii="Arial" w:hAnsi="Arial" w:cs="Arial"/>
                <w:sz w:val="20"/>
                <w:szCs w:val="20"/>
                <w:lang w:eastAsia="ja-JP"/>
              </w:rPr>
            </w:pPr>
            <w:r>
              <w:rPr>
                <w:rFonts w:ascii="Arial" w:hAnsi="Arial" w:cs="Arial"/>
                <w:sz w:val="20"/>
                <w:szCs w:val="20"/>
              </w:rPr>
              <w:t>M</w:t>
            </w:r>
            <w:r w:rsidRPr="005B049D">
              <w:rPr>
                <w:rFonts w:ascii="Arial" w:hAnsi="Arial" w:cs="Arial"/>
                <w:sz w:val="20"/>
                <w:szCs w:val="20"/>
              </w:rPr>
              <w:t xml:space="preserve">odified </w:t>
            </w:r>
            <w:r>
              <w:rPr>
                <w:rFonts w:ascii="Arial" w:hAnsi="Arial" w:cs="Arial"/>
                <w:sz w:val="20"/>
                <w:szCs w:val="20"/>
              </w:rPr>
              <w:t>F</w:t>
            </w:r>
            <w:r w:rsidRPr="005B049D">
              <w:rPr>
                <w:rFonts w:ascii="Arial" w:hAnsi="Arial" w:cs="Arial"/>
                <w:sz w:val="20"/>
                <w:szCs w:val="20"/>
              </w:rPr>
              <w:t>ollowing, adjusted</w:t>
            </w:r>
          </w:p>
        </w:tc>
      </w:tr>
      <w:tr w:rsidR="00812334" w:rsidRPr="004304C8" w14:paraId="408E998C" w14:textId="77777777">
        <w:trPr>
          <w:trHeight w:val="290"/>
        </w:trPr>
        <w:tc>
          <w:tcPr>
            <w:tcW w:w="2795" w:type="dxa"/>
            <w:shd w:val="clear" w:color="auto" w:fill="D9E2F3" w:themeFill="accent1" w:themeFillTint="33"/>
            <w:noWrap/>
          </w:tcPr>
          <w:p w14:paraId="6016D1BA" w14:textId="111427BE" w:rsidR="00812334" w:rsidRPr="00981FF4" w:rsidRDefault="00812334" w:rsidP="0088120C">
            <w:pPr>
              <w:spacing w:before="60" w:after="60"/>
              <w:rPr>
                <w:rFonts w:ascii="Arial" w:hAnsi="Arial" w:cs="Arial"/>
                <w:color w:val="000000"/>
                <w:sz w:val="20"/>
                <w:szCs w:val="20"/>
                <w:lang w:eastAsia="ja-JP"/>
              </w:rPr>
            </w:pPr>
            <w:r w:rsidRPr="000D249E">
              <w:rPr>
                <w:rFonts w:ascii="Arial" w:eastAsia="Times New Roman" w:hAnsi="Arial" w:cs="Arial"/>
                <w:color w:val="000000" w:themeColor="text1"/>
                <w:sz w:val="20"/>
                <w:szCs w:val="20"/>
              </w:rPr>
              <w:t>Business Days</w:t>
            </w:r>
          </w:p>
        </w:tc>
        <w:tc>
          <w:tcPr>
            <w:tcW w:w="6565" w:type="dxa"/>
          </w:tcPr>
          <w:p w14:paraId="6678BA43" w14:textId="788B178C" w:rsidR="00812334" w:rsidRPr="004365B0" w:rsidRDefault="00812334" w:rsidP="0088120C">
            <w:pPr>
              <w:spacing w:before="60" w:after="60"/>
              <w:rPr>
                <w:rFonts w:ascii="Arial" w:eastAsia="Yu Mincho" w:hAnsi="Arial" w:cs="Arial"/>
                <w:color w:val="000000" w:themeColor="text1"/>
                <w:sz w:val="20"/>
                <w:szCs w:val="20"/>
                <w:lang w:eastAsia="ja-JP"/>
              </w:rPr>
            </w:pPr>
            <w:r w:rsidRPr="000D249E">
              <w:rPr>
                <w:rFonts w:ascii="Arial" w:eastAsia="Times New Roman" w:hAnsi="Arial" w:cs="Arial"/>
                <w:color w:val="000000" w:themeColor="text1"/>
                <w:sz w:val="20"/>
                <w:szCs w:val="20"/>
              </w:rPr>
              <w:t>New York</w:t>
            </w:r>
          </w:p>
        </w:tc>
      </w:tr>
      <w:tr w:rsidR="00812334" w:rsidRPr="004304C8" w14:paraId="08592E8D" w14:textId="77777777" w:rsidTr="002018B8">
        <w:trPr>
          <w:trHeight w:val="290"/>
        </w:trPr>
        <w:tc>
          <w:tcPr>
            <w:tcW w:w="2795" w:type="dxa"/>
            <w:shd w:val="clear" w:color="auto" w:fill="D9E2F3" w:themeFill="accent1" w:themeFillTint="33"/>
            <w:noWrap/>
          </w:tcPr>
          <w:p w14:paraId="48871047" w14:textId="7FBCB6D9" w:rsidR="00812334" w:rsidRPr="004365B0" w:rsidRDefault="00812334" w:rsidP="00633A34">
            <w:pPr>
              <w:spacing w:before="60" w:after="60"/>
              <w:rPr>
                <w:rFonts w:ascii="Arial" w:eastAsia="Yu Mincho" w:hAnsi="Arial" w:cs="Arial"/>
                <w:b/>
                <w:bCs/>
                <w:color w:val="000000" w:themeColor="text1"/>
                <w:sz w:val="20"/>
                <w:szCs w:val="20"/>
                <w:lang w:eastAsia="ja-JP"/>
              </w:rPr>
            </w:pPr>
            <w:r w:rsidRPr="00885B0F">
              <w:rPr>
                <w:rFonts w:ascii="Arial" w:eastAsia="Yu Mincho" w:hAnsi="Arial" w:cs="Arial"/>
                <w:b/>
                <w:bCs/>
                <w:color w:val="000000" w:themeColor="text1"/>
                <w:sz w:val="20"/>
                <w:szCs w:val="20"/>
                <w:lang w:eastAsia="ja-JP"/>
              </w:rPr>
              <w:t xml:space="preserve">Floating Amounts </w:t>
            </w:r>
            <w:r w:rsidRPr="004365B0">
              <w:rPr>
                <w:rFonts w:ascii="Arial" w:hAnsi="Arial" w:cs="Arial"/>
                <w:b/>
                <w:bCs/>
                <w:sz w:val="20"/>
                <w:szCs w:val="20"/>
              </w:rPr>
              <w:t>II</w:t>
            </w:r>
            <w:r w:rsidRPr="00885B0F">
              <w:rPr>
                <w:rFonts w:ascii="Arial" w:eastAsia="Yu Mincho" w:hAnsi="Arial" w:cs="Arial"/>
                <w:b/>
                <w:bCs/>
                <w:color w:val="000000" w:themeColor="text1"/>
                <w:sz w:val="20"/>
                <w:szCs w:val="20"/>
                <w:lang w:eastAsia="ja-JP"/>
              </w:rPr>
              <w:t>:</w:t>
            </w:r>
          </w:p>
        </w:tc>
        <w:tc>
          <w:tcPr>
            <w:tcW w:w="6565" w:type="dxa"/>
          </w:tcPr>
          <w:p w14:paraId="00884F5C" w14:textId="05BFAC67" w:rsidR="00812334" w:rsidRPr="004304C8" w:rsidRDefault="00812334" w:rsidP="00633A34">
            <w:pPr>
              <w:spacing w:before="60" w:after="60"/>
              <w:rPr>
                <w:rFonts w:ascii="Arial" w:eastAsia="Times New Roman" w:hAnsi="Arial" w:cs="Arial"/>
                <w:color w:val="000000" w:themeColor="text1"/>
                <w:sz w:val="20"/>
                <w:szCs w:val="20"/>
              </w:rPr>
            </w:pPr>
          </w:p>
        </w:tc>
      </w:tr>
      <w:tr w:rsidR="00812334" w:rsidRPr="004304C8" w14:paraId="65A2CCB0" w14:textId="77777777" w:rsidTr="11B68952">
        <w:trPr>
          <w:trHeight w:val="290"/>
        </w:trPr>
        <w:tc>
          <w:tcPr>
            <w:tcW w:w="2795" w:type="dxa"/>
            <w:shd w:val="clear" w:color="auto" w:fill="D9E2F3" w:themeFill="accent1" w:themeFillTint="33"/>
            <w:noWrap/>
          </w:tcPr>
          <w:p w14:paraId="364473A1" w14:textId="7DC1E845" w:rsidR="00812334" w:rsidRDefault="00812334" w:rsidP="00633A34">
            <w:pPr>
              <w:spacing w:before="60" w:after="60"/>
              <w:rPr>
                <w:rFonts w:ascii="Arial" w:eastAsia="Yu Mincho" w:hAnsi="Arial" w:cs="Arial"/>
                <w:b/>
                <w:bCs/>
                <w:color w:val="000000" w:themeColor="text1"/>
                <w:sz w:val="20"/>
                <w:szCs w:val="20"/>
                <w:lang w:eastAsia="ja-JP"/>
              </w:rPr>
            </w:pPr>
            <w:r w:rsidRPr="00986504">
              <w:rPr>
                <w:rFonts w:ascii="Arial" w:eastAsia="Yu Mincho" w:hAnsi="Arial" w:cs="Arial"/>
                <w:color w:val="000000" w:themeColor="text1"/>
                <w:sz w:val="20"/>
                <w:szCs w:val="20"/>
                <w:lang w:eastAsia="ja-JP"/>
              </w:rPr>
              <w:t>Floating Amount Payer</w:t>
            </w:r>
            <w:r>
              <w:rPr>
                <w:rFonts w:ascii="Arial" w:eastAsia="Yu Mincho" w:hAnsi="Arial" w:cs="Arial"/>
                <w:color w:val="000000" w:themeColor="text1"/>
                <w:sz w:val="20"/>
                <w:szCs w:val="20"/>
                <w:lang w:eastAsia="ja-JP"/>
              </w:rPr>
              <w:t xml:space="preserve"> </w:t>
            </w:r>
            <w:r w:rsidRPr="00885B0F">
              <w:rPr>
                <w:rFonts w:ascii="Arial" w:hAnsi="Arial" w:cs="Arial"/>
                <w:sz w:val="20"/>
                <w:szCs w:val="20"/>
              </w:rPr>
              <w:t>II</w:t>
            </w:r>
          </w:p>
        </w:tc>
        <w:tc>
          <w:tcPr>
            <w:tcW w:w="6565" w:type="dxa"/>
          </w:tcPr>
          <w:p w14:paraId="7B14BCFA" w14:textId="12F89C20" w:rsidR="00812334" w:rsidRPr="004304C8" w:rsidRDefault="00812334" w:rsidP="00633A34">
            <w:pPr>
              <w:spacing w:before="60" w:after="60"/>
              <w:rPr>
                <w:rFonts w:ascii="Arial" w:eastAsia="Times New Roman" w:hAnsi="Arial" w:cs="Arial"/>
                <w:color w:val="000000" w:themeColor="text1"/>
                <w:sz w:val="20"/>
                <w:szCs w:val="20"/>
              </w:rPr>
            </w:pPr>
            <w:r>
              <w:rPr>
                <w:rFonts w:ascii="Arial" w:eastAsia="Yu Mincho" w:hAnsi="Arial" w:cs="Arial" w:hint="eastAsia"/>
                <w:color w:val="000000" w:themeColor="text1"/>
                <w:sz w:val="20"/>
                <w:szCs w:val="20"/>
                <w:lang w:eastAsia="ja-JP"/>
              </w:rPr>
              <w:t>Party B</w:t>
            </w:r>
          </w:p>
        </w:tc>
      </w:tr>
      <w:tr w:rsidR="00812334" w:rsidRPr="004304C8" w14:paraId="0BE1805D" w14:textId="77777777" w:rsidTr="11B68952">
        <w:trPr>
          <w:trHeight w:val="290"/>
        </w:trPr>
        <w:tc>
          <w:tcPr>
            <w:tcW w:w="2795" w:type="dxa"/>
            <w:shd w:val="clear" w:color="auto" w:fill="D9E2F3" w:themeFill="accent1" w:themeFillTint="33"/>
            <w:noWrap/>
          </w:tcPr>
          <w:p w14:paraId="2A1E24E0" w14:textId="5E900B83" w:rsidR="00812334" w:rsidRPr="00683AF5" w:rsidRDefault="00812334" w:rsidP="00633A34">
            <w:pPr>
              <w:spacing w:before="60" w:after="60"/>
              <w:rPr>
                <w:rFonts w:ascii="Arial" w:eastAsia="Yu Mincho" w:hAnsi="Arial" w:cs="Arial"/>
                <w:b/>
                <w:bCs/>
                <w:color w:val="000000" w:themeColor="text1"/>
                <w:sz w:val="20"/>
                <w:szCs w:val="20"/>
                <w:lang w:eastAsia="ja-JP"/>
              </w:rPr>
            </w:pPr>
            <w:r w:rsidRPr="00FB00E4">
              <w:rPr>
                <w:rFonts w:ascii="Arial" w:eastAsia="Yu Mincho" w:hAnsi="Arial" w:cs="Arial"/>
                <w:color w:val="000000" w:themeColor="text1"/>
                <w:sz w:val="20"/>
                <w:szCs w:val="20"/>
                <w:lang w:eastAsia="ja-JP"/>
              </w:rPr>
              <w:t>Floating Amount Payer</w:t>
            </w:r>
            <w:r>
              <w:rPr>
                <w:rFonts w:ascii="Arial" w:eastAsia="Yu Mincho" w:hAnsi="Arial" w:cs="Arial"/>
                <w:color w:val="000000" w:themeColor="text1"/>
                <w:sz w:val="20"/>
                <w:szCs w:val="20"/>
                <w:lang w:eastAsia="ja-JP"/>
              </w:rPr>
              <w:t xml:space="preserve"> </w:t>
            </w:r>
            <w:r w:rsidRPr="00885B0F">
              <w:rPr>
                <w:rFonts w:ascii="Arial" w:hAnsi="Arial" w:cs="Arial"/>
                <w:sz w:val="20"/>
                <w:szCs w:val="20"/>
              </w:rPr>
              <w:t>II</w:t>
            </w:r>
            <w:r>
              <w:rPr>
                <w:rFonts w:ascii="Arial" w:eastAsia="MS Gothic" w:hAnsi="Arial" w:cs="Arial"/>
                <w:color w:val="000000" w:themeColor="text1"/>
                <w:sz w:val="20"/>
                <w:szCs w:val="20"/>
                <w:lang w:eastAsia="ja-JP"/>
              </w:rPr>
              <w:t xml:space="preserve"> Floating Rate</w:t>
            </w:r>
          </w:p>
        </w:tc>
        <w:tc>
          <w:tcPr>
            <w:tcW w:w="6565" w:type="dxa"/>
          </w:tcPr>
          <w:p w14:paraId="156C13BD" w14:textId="77777777" w:rsidR="00812334" w:rsidRDefault="00812334" w:rsidP="00633A34">
            <w:pPr>
              <w:spacing w:after="80"/>
              <w:jc w:val="both"/>
              <w:rPr>
                <w:rFonts w:ascii="Arial" w:hAnsi="Arial" w:cs="Arial"/>
                <w:sz w:val="20"/>
                <w:szCs w:val="20"/>
                <w:lang w:eastAsia="ja-JP"/>
              </w:rPr>
            </w:pPr>
            <w:r w:rsidRPr="004304C8">
              <w:rPr>
                <w:rFonts w:ascii="Arial" w:eastAsia="Times New Roman" w:hAnsi="Arial" w:cs="Arial"/>
                <w:color w:val="000000" w:themeColor="text1"/>
                <w:sz w:val="20"/>
                <w:szCs w:val="20"/>
              </w:rPr>
              <w:t>USD-SOFR-</w:t>
            </w:r>
            <w:r w:rsidRPr="004304C8">
              <w:rPr>
                <w:rFonts w:ascii="Arial" w:hAnsi="Arial" w:cs="Arial"/>
                <w:color w:val="000000" w:themeColor="text1"/>
                <w:sz w:val="20"/>
                <w:szCs w:val="20"/>
              </w:rPr>
              <w:t xml:space="preserve">OIS </w:t>
            </w:r>
            <w:r w:rsidRPr="004304C8">
              <w:rPr>
                <w:rFonts w:ascii="Arial" w:eastAsia="Times New Roman" w:hAnsi="Arial" w:cs="Arial"/>
                <w:color w:val="000000" w:themeColor="text1"/>
                <w:sz w:val="20"/>
                <w:szCs w:val="20"/>
              </w:rPr>
              <w:t>Compound</w:t>
            </w:r>
            <w:r w:rsidRPr="000C1878">
              <w:rPr>
                <w:rFonts w:ascii="Arial" w:hAnsi="Arial" w:cs="Arial"/>
                <w:sz w:val="20"/>
                <w:szCs w:val="20"/>
              </w:rPr>
              <w:t xml:space="preserve"> plus Margin.</w:t>
            </w:r>
          </w:p>
          <w:p w14:paraId="61797745" w14:textId="6E3DF12E" w:rsidR="00812334" w:rsidRPr="004365B0" w:rsidRDefault="00812334" w:rsidP="00633A34">
            <w:pPr>
              <w:spacing w:before="60" w:after="60"/>
              <w:rPr>
                <w:rFonts w:ascii="Arial" w:eastAsia="Yu Mincho" w:hAnsi="Arial" w:cs="Arial"/>
                <w:color w:val="000000" w:themeColor="text1"/>
                <w:sz w:val="20"/>
                <w:szCs w:val="20"/>
                <w:lang w:eastAsia="ja-JP"/>
              </w:rPr>
            </w:pPr>
            <w:r w:rsidRPr="007B7AB2">
              <w:rPr>
                <w:rFonts w:ascii="Arial" w:hAnsi="Arial" w:cs="Arial"/>
                <w:b/>
                <w:bCs/>
                <w:sz w:val="20"/>
                <w:szCs w:val="20"/>
              </w:rPr>
              <w:t xml:space="preserve">For the avoidance of doubt the interest on swap </w:t>
            </w:r>
            <w:r>
              <w:rPr>
                <w:rFonts w:ascii="Arial" w:hAnsi="Arial" w:cs="Arial"/>
                <w:b/>
                <w:bCs/>
                <w:sz w:val="20"/>
                <w:szCs w:val="20"/>
              </w:rPr>
              <w:t>is</w:t>
            </w:r>
            <w:r w:rsidRPr="007B7AB2">
              <w:rPr>
                <w:rFonts w:ascii="Arial" w:hAnsi="Arial" w:cs="Arial"/>
                <w:b/>
                <w:bCs/>
                <w:sz w:val="20"/>
                <w:szCs w:val="20"/>
              </w:rPr>
              <w:t xml:space="preserve"> not floored at 0%</w:t>
            </w:r>
          </w:p>
        </w:tc>
      </w:tr>
      <w:tr w:rsidR="00812334" w:rsidRPr="004304C8" w14:paraId="4CAC79B5" w14:textId="77777777" w:rsidTr="11B68952">
        <w:trPr>
          <w:trHeight w:val="296"/>
        </w:trPr>
        <w:tc>
          <w:tcPr>
            <w:tcW w:w="2795" w:type="dxa"/>
            <w:shd w:val="clear" w:color="auto" w:fill="D9E2F3" w:themeFill="accent1" w:themeFillTint="33"/>
            <w:noWrap/>
          </w:tcPr>
          <w:p w14:paraId="7B7DEA72" w14:textId="77777777" w:rsidR="00812334" w:rsidRDefault="00812334" w:rsidP="00633A34">
            <w:pPr>
              <w:spacing w:before="60" w:after="60"/>
              <w:rPr>
                <w:rFonts w:ascii="Arial" w:eastAsia="Times New Roman" w:hAnsi="Arial" w:cs="Arial"/>
                <w:color w:val="000000" w:themeColor="text1"/>
                <w:sz w:val="20"/>
                <w:szCs w:val="20"/>
              </w:rPr>
            </w:pPr>
            <w:r w:rsidRPr="00FB00E4">
              <w:rPr>
                <w:rFonts w:ascii="Arial" w:eastAsia="Yu Mincho" w:hAnsi="Arial" w:cs="Arial"/>
                <w:color w:val="000000" w:themeColor="text1"/>
                <w:sz w:val="20"/>
                <w:szCs w:val="20"/>
                <w:lang w:eastAsia="ja-JP"/>
              </w:rPr>
              <w:t>Floating Amount Payer</w:t>
            </w:r>
            <w:r>
              <w:rPr>
                <w:rFonts w:ascii="Arial" w:eastAsia="Yu Mincho" w:hAnsi="Arial" w:cs="Arial"/>
                <w:color w:val="000000" w:themeColor="text1"/>
                <w:sz w:val="20"/>
                <w:szCs w:val="20"/>
                <w:lang w:eastAsia="ja-JP"/>
              </w:rPr>
              <w:t xml:space="preserve"> </w:t>
            </w:r>
            <w:r w:rsidRPr="00885B0F">
              <w:rPr>
                <w:rFonts w:ascii="Arial" w:hAnsi="Arial" w:cs="Arial"/>
                <w:sz w:val="20"/>
                <w:szCs w:val="20"/>
              </w:rPr>
              <w:t>II</w:t>
            </w:r>
          </w:p>
          <w:p w14:paraId="20762E29" w14:textId="2898203C" w:rsidR="00812334" w:rsidRPr="00885B0F" w:rsidRDefault="00812334" w:rsidP="00633A34">
            <w:pPr>
              <w:spacing w:before="60" w:after="60"/>
              <w:rPr>
                <w:rFonts w:ascii="Arial" w:eastAsia="Yu Mincho" w:hAnsi="Arial" w:cs="Arial"/>
                <w:b/>
                <w:bCs/>
                <w:color w:val="000000" w:themeColor="text1"/>
                <w:sz w:val="20"/>
                <w:szCs w:val="20"/>
                <w:lang w:eastAsia="ja-JP"/>
              </w:rPr>
            </w:pPr>
            <w:r>
              <w:rPr>
                <w:rFonts w:ascii="Arial" w:eastAsia="Times New Roman" w:hAnsi="Arial" w:cs="Arial"/>
                <w:color w:val="000000" w:themeColor="text1"/>
                <w:sz w:val="20"/>
                <w:szCs w:val="20"/>
              </w:rPr>
              <w:t>Floating Rate Option</w:t>
            </w:r>
          </w:p>
        </w:tc>
        <w:tc>
          <w:tcPr>
            <w:tcW w:w="6565" w:type="dxa"/>
          </w:tcPr>
          <w:p w14:paraId="70D59470" w14:textId="3D380F19" w:rsidR="00812334" w:rsidRPr="004304C8" w:rsidRDefault="00812334" w:rsidP="00633A34">
            <w:pPr>
              <w:spacing w:before="60" w:after="60"/>
              <w:rPr>
                <w:rFonts w:ascii="Arial" w:eastAsia="Times New Roman" w:hAnsi="Arial" w:cs="Arial"/>
                <w:color w:val="000000" w:themeColor="text1"/>
                <w:sz w:val="20"/>
                <w:szCs w:val="20"/>
              </w:rPr>
            </w:pPr>
            <w:r>
              <w:rPr>
                <w:rFonts w:ascii="Arial" w:hAnsi="Arial" w:cs="Arial"/>
                <w:sz w:val="20"/>
                <w:szCs w:val="20"/>
                <w:lang w:eastAsia="ja-JP"/>
              </w:rPr>
              <w:t>USD-SOFR-OIS Compound</w:t>
            </w:r>
          </w:p>
        </w:tc>
      </w:tr>
      <w:tr w:rsidR="00812334" w:rsidRPr="004304C8" w14:paraId="57E7C367" w14:textId="77777777" w:rsidTr="11B68952">
        <w:trPr>
          <w:trHeight w:val="290"/>
        </w:trPr>
        <w:tc>
          <w:tcPr>
            <w:tcW w:w="2795" w:type="dxa"/>
            <w:shd w:val="clear" w:color="auto" w:fill="D9E2F3" w:themeFill="accent1" w:themeFillTint="33"/>
            <w:noWrap/>
          </w:tcPr>
          <w:p w14:paraId="1580520A" w14:textId="099F4846" w:rsidR="00812334" w:rsidRPr="00986504" w:rsidRDefault="00812334" w:rsidP="00633A34">
            <w:pPr>
              <w:spacing w:before="60" w:after="60"/>
              <w:rPr>
                <w:rFonts w:ascii="Arial" w:eastAsia="Yu Mincho" w:hAnsi="Arial" w:cs="Arial"/>
                <w:b/>
                <w:bCs/>
                <w:color w:val="000000" w:themeColor="text1"/>
                <w:sz w:val="20"/>
                <w:szCs w:val="20"/>
                <w:lang w:eastAsia="ja-JP"/>
              </w:rPr>
            </w:pPr>
            <w:r>
              <w:rPr>
                <w:rFonts w:ascii="Arial" w:eastAsia="Yu Mincho" w:hAnsi="Arial" w:cs="Arial" w:hint="eastAsia"/>
                <w:color w:val="000000" w:themeColor="text1"/>
                <w:sz w:val="20"/>
                <w:szCs w:val="20"/>
                <w:lang w:eastAsia="ja-JP"/>
              </w:rPr>
              <w:t>Margin</w:t>
            </w:r>
          </w:p>
        </w:tc>
        <w:tc>
          <w:tcPr>
            <w:tcW w:w="6565" w:type="dxa"/>
          </w:tcPr>
          <w:p w14:paraId="76D80293" w14:textId="44AB2EA8" w:rsidR="00812334" w:rsidRPr="004304C8" w:rsidRDefault="00812334" w:rsidP="00633A34">
            <w:pPr>
              <w:spacing w:before="60" w:after="60"/>
              <w:rPr>
                <w:rFonts w:ascii="Arial" w:eastAsia="Times New Roman" w:hAnsi="Arial" w:cs="Arial"/>
                <w:color w:val="000000" w:themeColor="text1"/>
                <w:sz w:val="20"/>
                <w:szCs w:val="20"/>
              </w:rPr>
            </w:pPr>
            <w:r w:rsidRPr="004304C8">
              <w:rPr>
                <w:rFonts w:ascii="Wingdings" w:eastAsia="Wingdings" w:hAnsi="Wingdings" w:cs="Wingdings"/>
                <w:color w:val="000000" w:themeColor="text1"/>
                <w:sz w:val="20"/>
                <w:szCs w:val="20"/>
              </w:rPr>
              <w:t>l</w:t>
            </w:r>
            <w:r w:rsidRPr="004304C8">
              <w:rPr>
                <w:rFonts w:ascii="Arial" w:eastAsia="Times New Roman" w:hAnsi="Arial" w:cs="Arial"/>
                <w:color w:val="000000" w:themeColor="text1"/>
                <w:sz w:val="20"/>
                <w:szCs w:val="20"/>
              </w:rPr>
              <w:t xml:space="preserve"> bps</w:t>
            </w:r>
          </w:p>
        </w:tc>
      </w:tr>
      <w:tr w:rsidR="00812334" w:rsidRPr="004304C8" w14:paraId="794C1F9F" w14:textId="77777777" w:rsidTr="11B68952">
        <w:trPr>
          <w:trHeight w:val="290"/>
        </w:trPr>
        <w:tc>
          <w:tcPr>
            <w:tcW w:w="2795" w:type="dxa"/>
            <w:shd w:val="clear" w:color="auto" w:fill="D9E2F3" w:themeFill="accent1" w:themeFillTint="33"/>
            <w:noWrap/>
          </w:tcPr>
          <w:p w14:paraId="134DA12F" w14:textId="3A340934" w:rsidR="00812334" w:rsidRPr="00986504" w:rsidRDefault="00812334" w:rsidP="00633A34">
            <w:pPr>
              <w:spacing w:before="60" w:after="60"/>
              <w:rPr>
                <w:rFonts w:ascii="Arial" w:eastAsia="Yu Mincho" w:hAnsi="Arial" w:cs="Arial"/>
                <w:color w:val="000000" w:themeColor="text1"/>
                <w:sz w:val="20"/>
                <w:szCs w:val="20"/>
                <w:lang w:eastAsia="ja-JP"/>
              </w:rPr>
            </w:pPr>
            <w:r w:rsidRPr="004304C8">
              <w:rPr>
                <w:rFonts w:ascii="Arial" w:eastAsia="Times New Roman" w:hAnsi="Arial" w:cs="Arial"/>
                <w:color w:val="000000" w:themeColor="text1"/>
                <w:sz w:val="20"/>
                <w:szCs w:val="20"/>
              </w:rPr>
              <w:t>Reset Dates</w:t>
            </w:r>
          </w:p>
        </w:tc>
        <w:tc>
          <w:tcPr>
            <w:tcW w:w="6565" w:type="dxa"/>
          </w:tcPr>
          <w:p w14:paraId="242D4F68" w14:textId="532DA2E3" w:rsidR="00812334" w:rsidRDefault="00812334" w:rsidP="00633A34">
            <w:pPr>
              <w:spacing w:before="60" w:after="60"/>
              <w:rPr>
                <w:rFonts w:ascii="Arial" w:eastAsia="Yu Mincho" w:hAnsi="Arial" w:cs="Arial"/>
                <w:color w:val="000000" w:themeColor="text1"/>
                <w:sz w:val="20"/>
                <w:szCs w:val="20"/>
                <w:lang w:eastAsia="ja-JP"/>
              </w:rPr>
            </w:pPr>
            <w:r w:rsidRPr="004304C8">
              <w:rPr>
                <w:rFonts w:ascii="Arial" w:eastAsia="Times New Roman" w:hAnsi="Arial" w:cs="Arial"/>
                <w:color w:val="000000" w:themeColor="text1"/>
                <w:sz w:val="20"/>
                <w:szCs w:val="20"/>
              </w:rPr>
              <w:t>The last day of each Calculation Period</w:t>
            </w:r>
          </w:p>
        </w:tc>
      </w:tr>
      <w:tr w:rsidR="00812334" w:rsidRPr="004304C8" w14:paraId="649330BE" w14:textId="77777777" w:rsidTr="11B68952">
        <w:trPr>
          <w:trHeight w:val="290"/>
        </w:trPr>
        <w:tc>
          <w:tcPr>
            <w:tcW w:w="2795" w:type="dxa"/>
            <w:shd w:val="clear" w:color="auto" w:fill="D9E2F3" w:themeFill="accent1" w:themeFillTint="33"/>
            <w:noWrap/>
          </w:tcPr>
          <w:p w14:paraId="789C5F86" w14:textId="4C4AE7F9" w:rsidR="00812334" w:rsidRPr="004304C8" w:rsidRDefault="00812334" w:rsidP="00633A3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Compounding</w:t>
            </w:r>
          </w:p>
        </w:tc>
        <w:tc>
          <w:tcPr>
            <w:tcW w:w="6565" w:type="dxa"/>
          </w:tcPr>
          <w:p w14:paraId="22099483" w14:textId="7E4BEF39" w:rsidR="00812334" w:rsidRPr="004304C8" w:rsidRDefault="00812334" w:rsidP="00633A3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Inapplicable</w:t>
            </w:r>
          </w:p>
        </w:tc>
      </w:tr>
      <w:tr w:rsidR="00812334" w:rsidRPr="004304C8" w14:paraId="5814A743" w14:textId="77777777" w:rsidTr="11B68952">
        <w:trPr>
          <w:trHeight w:val="290"/>
        </w:trPr>
        <w:tc>
          <w:tcPr>
            <w:tcW w:w="2795" w:type="dxa"/>
            <w:shd w:val="clear" w:color="auto" w:fill="D9E2F3" w:themeFill="accent1" w:themeFillTint="33"/>
            <w:noWrap/>
          </w:tcPr>
          <w:p w14:paraId="05575A4B" w14:textId="2BF5A365" w:rsidR="00812334" w:rsidRPr="004365B0" w:rsidRDefault="00812334" w:rsidP="00633A34">
            <w:pPr>
              <w:spacing w:before="60" w:after="60"/>
              <w:rPr>
                <w:rFonts w:ascii="Arial" w:eastAsia="Yu Mincho" w:hAnsi="Arial" w:cs="Arial"/>
                <w:color w:val="000000" w:themeColor="text1"/>
                <w:sz w:val="20"/>
                <w:szCs w:val="20"/>
                <w:lang w:eastAsia="ja-JP"/>
              </w:rPr>
            </w:pPr>
            <w:r w:rsidRPr="00FB00E4">
              <w:rPr>
                <w:rFonts w:ascii="Arial" w:eastAsia="Yu Mincho" w:hAnsi="Arial" w:cs="Arial"/>
                <w:color w:val="000000" w:themeColor="text1"/>
                <w:sz w:val="20"/>
                <w:szCs w:val="20"/>
                <w:lang w:eastAsia="ja-JP"/>
              </w:rPr>
              <w:t>Floating Amount Payer</w:t>
            </w:r>
            <w:r>
              <w:rPr>
                <w:rFonts w:ascii="Arial" w:eastAsia="Yu Mincho" w:hAnsi="Arial" w:cs="Arial"/>
                <w:color w:val="000000" w:themeColor="text1"/>
                <w:sz w:val="20"/>
                <w:szCs w:val="20"/>
                <w:lang w:eastAsia="ja-JP"/>
              </w:rPr>
              <w:t xml:space="preserve"> </w:t>
            </w:r>
            <w:r w:rsidRPr="00885B0F">
              <w:rPr>
                <w:rFonts w:ascii="Arial" w:hAnsi="Arial" w:cs="Arial"/>
                <w:sz w:val="20"/>
                <w:szCs w:val="20"/>
              </w:rPr>
              <w:t>II</w:t>
            </w:r>
            <w:r>
              <w:rPr>
                <w:rFonts w:ascii="Arial" w:eastAsia="Times New Roman" w:hAnsi="Arial" w:cs="Arial"/>
                <w:color w:val="000000" w:themeColor="text1"/>
                <w:sz w:val="20"/>
                <w:szCs w:val="20"/>
              </w:rPr>
              <w:t xml:space="preserve"> </w:t>
            </w:r>
            <w:r w:rsidRPr="004304C8">
              <w:rPr>
                <w:rFonts w:ascii="Arial" w:eastAsia="Times New Roman" w:hAnsi="Arial" w:cs="Arial"/>
                <w:color w:val="000000" w:themeColor="text1"/>
                <w:sz w:val="20"/>
                <w:szCs w:val="20"/>
              </w:rPr>
              <w:t>Period End Dates</w:t>
            </w:r>
          </w:p>
        </w:tc>
        <w:tc>
          <w:tcPr>
            <w:tcW w:w="6565" w:type="dxa"/>
          </w:tcPr>
          <w:p w14:paraId="032FB3E2" w14:textId="166ED401" w:rsidR="00812334" w:rsidRDefault="00812334" w:rsidP="00633A34">
            <w:pPr>
              <w:spacing w:before="60" w:after="60"/>
              <w:rPr>
                <w:rFonts w:ascii="Arial" w:hAnsi="Arial" w:cs="Arial"/>
                <w:sz w:val="20"/>
                <w:szCs w:val="20"/>
                <w:lang w:eastAsia="ja-JP"/>
              </w:rPr>
            </w:pPr>
            <w:r w:rsidRPr="004304C8">
              <w:rPr>
                <w:rFonts w:ascii="Arial" w:eastAsia="Times New Roman" w:hAnsi="Arial" w:cs="Arial"/>
                <w:color w:val="000000" w:themeColor="text1"/>
                <w:sz w:val="20"/>
                <w:szCs w:val="20"/>
              </w:rPr>
              <w:t xml:space="preserve">Quarterly, every </w:t>
            </w:r>
            <w:r w:rsidRPr="004304C8">
              <w:rPr>
                <w:rFonts w:ascii="Wingdings" w:eastAsia="Wingdings" w:hAnsi="Wingdings" w:cs="Wingdings"/>
                <w:color w:val="000000" w:themeColor="text1"/>
                <w:sz w:val="20"/>
                <w:szCs w:val="20"/>
              </w:rPr>
              <w:t>l</w:t>
            </w:r>
            <w:r>
              <w:rPr>
                <w:rFonts w:ascii="Arial" w:eastAsia="Times New Roman" w:hAnsi="Arial" w:cs="Arial"/>
                <w:sz w:val="20"/>
                <w:szCs w:val="20"/>
              </w:rPr>
              <w:t xml:space="preserve">, </w:t>
            </w:r>
            <w:r w:rsidRPr="004304C8">
              <w:rPr>
                <w:rFonts w:ascii="Wingdings" w:eastAsia="Wingdings" w:hAnsi="Wingdings" w:cs="Wingdings"/>
                <w:color w:val="000000" w:themeColor="text1"/>
                <w:sz w:val="20"/>
                <w:szCs w:val="20"/>
              </w:rPr>
              <w:t>l</w:t>
            </w:r>
            <w:r>
              <w:rPr>
                <w:rFonts w:ascii="Arial" w:eastAsia="Times New Roman" w:hAnsi="Arial" w:cs="Arial"/>
                <w:color w:val="000000" w:themeColor="text1"/>
                <w:sz w:val="20"/>
                <w:szCs w:val="20"/>
              </w:rPr>
              <w:t xml:space="preserve">, </w:t>
            </w:r>
            <w:r w:rsidRPr="004304C8">
              <w:rPr>
                <w:rFonts w:ascii="Wingdings" w:eastAsia="Wingdings" w:hAnsi="Wingdings" w:cs="Wingdings"/>
                <w:color w:val="000000" w:themeColor="text1"/>
                <w:sz w:val="20"/>
                <w:szCs w:val="20"/>
              </w:rPr>
              <w:t>l</w:t>
            </w:r>
            <w:r>
              <w:rPr>
                <w:rFonts w:ascii="Arial" w:eastAsia="Times New Roman" w:hAnsi="Arial" w:cs="Arial"/>
                <w:color w:val="000000" w:themeColor="text1"/>
                <w:sz w:val="20"/>
                <w:szCs w:val="20"/>
              </w:rPr>
              <w:t xml:space="preserve"> </w:t>
            </w:r>
            <w:r w:rsidRPr="00954B9E">
              <w:rPr>
                <w:rFonts w:ascii="Arial" w:eastAsia="Times New Roman" w:hAnsi="Arial" w:cs="Arial"/>
                <w:sz w:val="20"/>
                <w:szCs w:val="20"/>
              </w:rPr>
              <w:t xml:space="preserve">and </w:t>
            </w:r>
            <w:r w:rsidRPr="004304C8">
              <w:rPr>
                <w:rFonts w:ascii="Wingdings" w:eastAsia="Wingdings" w:hAnsi="Wingdings" w:cs="Wingdings"/>
                <w:color w:val="000000" w:themeColor="text1"/>
                <w:sz w:val="20"/>
                <w:szCs w:val="20"/>
              </w:rPr>
              <w:t>l</w:t>
            </w:r>
            <w:r w:rsidRPr="004304C8">
              <w:rPr>
                <w:rFonts w:ascii="Arial" w:eastAsia="Times New Roman" w:hAnsi="Arial" w:cs="Arial"/>
                <w:color w:val="000000" w:themeColor="text1"/>
                <w:sz w:val="20"/>
                <w:szCs w:val="20"/>
              </w:rPr>
              <w:t xml:space="preserve">, each year </w:t>
            </w:r>
            <w:r w:rsidRPr="001064F3">
              <w:rPr>
                <w:rFonts w:ascii="Arial" w:eastAsia="Times New Roman" w:hAnsi="Arial" w:cs="Arial"/>
                <w:color w:val="000000" w:themeColor="text1"/>
                <w:sz w:val="20"/>
                <w:szCs w:val="20"/>
              </w:rPr>
              <w:t xml:space="preserve">commencing </w:t>
            </w:r>
            <w:r w:rsidRPr="004304C8">
              <w:rPr>
                <w:rFonts w:ascii="Arial" w:eastAsia="Times New Roman" w:hAnsi="Arial" w:cs="Arial"/>
                <w:color w:val="000000" w:themeColor="text1"/>
                <w:sz w:val="20"/>
                <w:szCs w:val="20"/>
              </w:rPr>
              <w:t xml:space="preserve">on </w:t>
            </w:r>
            <w:r w:rsidRPr="004304C8">
              <w:rPr>
                <w:rFonts w:ascii="Wingdings" w:eastAsia="Wingdings" w:hAnsi="Wingdings" w:cs="Wingdings"/>
                <w:color w:val="000000" w:themeColor="text1"/>
                <w:sz w:val="20"/>
                <w:szCs w:val="20"/>
              </w:rPr>
              <w:t>l</w:t>
            </w:r>
            <w:r w:rsidRPr="004304C8">
              <w:rPr>
                <w:rFonts w:ascii="Arial" w:eastAsia="Times New Roman" w:hAnsi="Arial" w:cs="Arial"/>
                <w:color w:val="000000" w:themeColor="text1"/>
                <w:sz w:val="20"/>
                <w:szCs w:val="20"/>
              </w:rPr>
              <w:t>, up to and including the Termination Date</w:t>
            </w:r>
          </w:p>
        </w:tc>
      </w:tr>
      <w:tr w:rsidR="00812334" w:rsidRPr="004304C8" w14:paraId="75588A8F" w14:textId="77777777" w:rsidTr="11B68952">
        <w:trPr>
          <w:trHeight w:val="290"/>
        </w:trPr>
        <w:tc>
          <w:tcPr>
            <w:tcW w:w="2795" w:type="dxa"/>
            <w:shd w:val="clear" w:color="auto" w:fill="D9E2F3" w:themeFill="accent1" w:themeFillTint="33"/>
            <w:noWrap/>
          </w:tcPr>
          <w:p w14:paraId="2D2F64E1" w14:textId="723D36C9" w:rsidR="00812334" w:rsidRDefault="00812334" w:rsidP="00633A34">
            <w:pPr>
              <w:spacing w:before="60" w:after="60"/>
              <w:rPr>
                <w:rFonts w:ascii="Arial" w:eastAsia="Times New Roman" w:hAnsi="Arial" w:cs="Arial"/>
                <w:color w:val="000000" w:themeColor="text1"/>
                <w:sz w:val="20"/>
                <w:szCs w:val="20"/>
              </w:rPr>
            </w:pPr>
            <w:r w:rsidRPr="00FB00E4">
              <w:rPr>
                <w:rFonts w:ascii="Arial" w:eastAsia="Yu Mincho" w:hAnsi="Arial" w:cs="Arial"/>
                <w:color w:val="000000" w:themeColor="text1"/>
                <w:sz w:val="20"/>
                <w:szCs w:val="20"/>
                <w:lang w:eastAsia="ja-JP"/>
              </w:rPr>
              <w:t>Floating Amount Payer</w:t>
            </w:r>
            <w:r>
              <w:rPr>
                <w:rFonts w:ascii="Arial" w:eastAsia="Yu Mincho" w:hAnsi="Arial" w:cs="Arial"/>
                <w:color w:val="000000" w:themeColor="text1"/>
                <w:sz w:val="20"/>
                <w:szCs w:val="20"/>
                <w:lang w:eastAsia="ja-JP"/>
              </w:rPr>
              <w:t xml:space="preserve"> </w:t>
            </w:r>
            <w:r w:rsidRPr="00885B0F">
              <w:rPr>
                <w:rFonts w:ascii="Arial" w:hAnsi="Arial" w:cs="Arial"/>
                <w:sz w:val="20"/>
                <w:szCs w:val="20"/>
              </w:rPr>
              <w:t>II</w:t>
            </w:r>
            <w:r w:rsidRPr="004304C8">
              <w:rPr>
                <w:rFonts w:ascii="Arial" w:eastAsia="Times New Roman" w:hAnsi="Arial" w:cs="Arial"/>
                <w:color w:val="000000" w:themeColor="text1"/>
                <w:sz w:val="20"/>
                <w:szCs w:val="20"/>
              </w:rPr>
              <w:t xml:space="preserve"> Delayed Payment</w:t>
            </w:r>
          </w:p>
        </w:tc>
        <w:tc>
          <w:tcPr>
            <w:tcW w:w="6565" w:type="dxa"/>
          </w:tcPr>
          <w:p w14:paraId="0E3DD672" w14:textId="095BD2AB" w:rsidR="00812334" w:rsidRDefault="00812334" w:rsidP="00633A34">
            <w:pPr>
              <w:spacing w:before="60" w:after="60"/>
              <w:rPr>
                <w:rFonts w:ascii="Arial" w:hAnsi="Arial" w:cs="Arial"/>
                <w:sz w:val="20"/>
                <w:szCs w:val="20"/>
              </w:rPr>
            </w:pPr>
            <w:r w:rsidRPr="004304C8">
              <w:rPr>
                <w:rFonts w:ascii="Arial" w:eastAsia="Times New Roman" w:hAnsi="Arial" w:cs="Arial"/>
                <w:color w:val="000000" w:themeColor="text1"/>
                <w:sz w:val="20"/>
                <w:szCs w:val="20"/>
              </w:rPr>
              <w:t>Applicable –</w:t>
            </w:r>
            <w:r w:rsidRPr="004304C8">
              <w:rPr>
                <w:rFonts w:ascii="Arial" w:eastAsia="Times New Roman" w:hAnsi="Arial" w:cs="Arial"/>
                <w:b/>
                <w:bCs/>
                <w:color w:val="000000" w:themeColor="text1"/>
                <w:sz w:val="20"/>
                <w:szCs w:val="20"/>
              </w:rPr>
              <w:t xml:space="preserve"> two (2)</w:t>
            </w:r>
            <w:r w:rsidRPr="004304C8">
              <w:rPr>
                <w:rFonts w:ascii="Arial" w:eastAsia="Times New Roman" w:hAnsi="Arial" w:cs="Arial"/>
                <w:color w:val="000000" w:themeColor="text1"/>
                <w:sz w:val="20"/>
                <w:szCs w:val="20"/>
              </w:rPr>
              <w:t xml:space="preserve"> Business Days</w:t>
            </w:r>
          </w:p>
        </w:tc>
      </w:tr>
      <w:tr w:rsidR="00812334" w:rsidRPr="004304C8" w14:paraId="00C2F6CE" w14:textId="77777777" w:rsidTr="11B68952">
        <w:trPr>
          <w:trHeight w:val="290"/>
        </w:trPr>
        <w:tc>
          <w:tcPr>
            <w:tcW w:w="2795" w:type="dxa"/>
            <w:shd w:val="clear" w:color="auto" w:fill="D9E2F3" w:themeFill="accent1" w:themeFillTint="33"/>
            <w:noWrap/>
          </w:tcPr>
          <w:p w14:paraId="38126EF3" w14:textId="789AF2BA" w:rsidR="00812334" w:rsidRPr="004304C8" w:rsidRDefault="00812334" w:rsidP="00633A34">
            <w:pPr>
              <w:spacing w:before="60" w:after="60"/>
              <w:rPr>
                <w:rFonts w:ascii="Arial" w:eastAsia="Times New Roman" w:hAnsi="Arial" w:cs="Arial"/>
                <w:color w:val="000000" w:themeColor="text1"/>
                <w:sz w:val="20"/>
                <w:szCs w:val="20"/>
              </w:rPr>
            </w:pPr>
            <w:r w:rsidRPr="004365B0">
              <w:rPr>
                <w:rFonts w:ascii="Arial" w:eastAsia="Yu Mincho" w:hAnsi="Arial" w:cs="Arial"/>
                <w:color w:val="000000" w:themeColor="text1"/>
                <w:sz w:val="20"/>
                <w:szCs w:val="20"/>
                <w:lang w:eastAsia="ja-JP"/>
              </w:rPr>
              <w:t xml:space="preserve">Floating Amount Payer </w:t>
            </w:r>
            <w:r w:rsidRPr="004365B0">
              <w:rPr>
                <w:rFonts w:ascii="Arial" w:hAnsi="Arial" w:cs="Arial"/>
                <w:sz w:val="20"/>
                <w:szCs w:val="20"/>
              </w:rPr>
              <w:t>II</w:t>
            </w:r>
            <w:r w:rsidRPr="004365B0">
              <w:rPr>
                <w:rFonts w:ascii="Arial" w:eastAsia="Times New Roman" w:hAnsi="Arial" w:cs="Arial"/>
                <w:color w:val="000000" w:themeColor="text1"/>
                <w:sz w:val="20"/>
                <w:szCs w:val="20"/>
              </w:rPr>
              <w:t xml:space="preserve"> Day Count Fraction</w:t>
            </w:r>
          </w:p>
        </w:tc>
        <w:tc>
          <w:tcPr>
            <w:tcW w:w="6565" w:type="dxa"/>
          </w:tcPr>
          <w:p w14:paraId="363740F0" w14:textId="2CA6772A" w:rsidR="00812334" w:rsidRPr="004304C8" w:rsidRDefault="00812334" w:rsidP="00633A34">
            <w:pPr>
              <w:spacing w:before="60" w:after="60"/>
              <w:rPr>
                <w:rFonts w:ascii="Arial" w:eastAsia="Times New Roman" w:hAnsi="Arial" w:cs="Arial"/>
                <w:color w:val="000000" w:themeColor="text1"/>
                <w:sz w:val="20"/>
                <w:szCs w:val="20"/>
              </w:rPr>
            </w:pPr>
            <w:r w:rsidRPr="004365B0">
              <w:rPr>
                <w:rFonts w:ascii="Arial" w:hAnsi="Arial" w:cs="Arial"/>
                <w:color w:val="000000" w:themeColor="text1"/>
                <w:sz w:val="20"/>
                <w:szCs w:val="20"/>
              </w:rPr>
              <w:t>Actual/360</w:t>
            </w:r>
          </w:p>
        </w:tc>
      </w:tr>
      <w:tr w:rsidR="00812334" w:rsidRPr="004304C8" w14:paraId="6135FE83" w14:textId="77777777" w:rsidTr="11B68952">
        <w:trPr>
          <w:trHeight w:val="290"/>
        </w:trPr>
        <w:tc>
          <w:tcPr>
            <w:tcW w:w="2795" w:type="dxa"/>
            <w:shd w:val="clear" w:color="auto" w:fill="D9E2F3" w:themeFill="accent1" w:themeFillTint="33"/>
            <w:noWrap/>
          </w:tcPr>
          <w:p w14:paraId="4CFA9198" w14:textId="0678EC1A" w:rsidR="00812334" w:rsidRDefault="00812334" w:rsidP="00D6738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565" w:type="dxa"/>
          </w:tcPr>
          <w:p w14:paraId="43B06596" w14:textId="56A6EB63" w:rsidR="00812334" w:rsidRPr="004365B0" w:rsidRDefault="00812334" w:rsidP="00D6738F">
            <w:pPr>
              <w:spacing w:before="60" w:after="60"/>
              <w:rPr>
                <w:rFonts w:ascii="Arial" w:eastAsia="Yu Mincho" w:hAnsi="Arial" w:cs="Arial"/>
                <w:sz w:val="20"/>
                <w:szCs w:val="20"/>
                <w:lang w:eastAsia="ja-JP"/>
              </w:rPr>
            </w:pPr>
            <w:r w:rsidRPr="004304C8">
              <w:rPr>
                <w:rFonts w:ascii="Arial" w:eastAsia="Times New Roman" w:hAnsi="Arial" w:cs="Arial"/>
                <w:color w:val="000000" w:themeColor="text1"/>
                <w:sz w:val="20"/>
                <w:szCs w:val="20"/>
              </w:rPr>
              <w:t>Modified Following, Adjusted</w:t>
            </w:r>
          </w:p>
        </w:tc>
      </w:tr>
      <w:tr w:rsidR="00812334" w:rsidRPr="004304C8" w14:paraId="00557544" w14:textId="77777777" w:rsidTr="11B68952">
        <w:trPr>
          <w:trHeight w:val="290"/>
        </w:trPr>
        <w:tc>
          <w:tcPr>
            <w:tcW w:w="2795" w:type="dxa"/>
            <w:shd w:val="clear" w:color="auto" w:fill="D9E2F3" w:themeFill="accent1" w:themeFillTint="33"/>
            <w:noWrap/>
          </w:tcPr>
          <w:p w14:paraId="5E4520BC" w14:textId="2BA4B0C8" w:rsidR="00812334" w:rsidRPr="00352DE3" w:rsidRDefault="00812334" w:rsidP="00633A34">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Business Days</w:t>
            </w:r>
          </w:p>
        </w:tc>
        <w:tc>
          <w:tcPr>
            <w:tcW w:w="6565" w:type="dxa"/>
          </w:tcPr>
          <w:p w14:paraId="1D05BDF7" w14:textId="7EC217AF" w:rsidR="00812334" w:rsidRPr="004304C8" w:rsidRDefault="00812334" w:rsidP="00633A3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New York</w:t>
            </w:r>
          </w:p>
        </w:tc>
      </w:tr>
      <w:tr w:rsidR="00812334" w:rsidRPr="004304C8" w14:paraId="7C5D8AE8" w14:textId="77777777" w:rsidTr="11B68952">
        <w:trPr>
          <w:trHeight w:val="290"/>
        </w:trPr>
        <w:tc>
          <w:tcPr>
            <w:tcW w:w="2795" w:type="dxa"/>
            <w:shd w:val="clear" w:color="auto" w:fill="D9E2F3" w:themeFill="accent1" w:themeFillTint="33"/>
            <w:noWrap/>
          </w:tcPr>
          <w:p w14:paraId="1C3DDE08" w14:textId="4675DA13" w:rsidR="00812334" w:rsidRPr="004365B0" w:rsidRDefault="00812334" w:rsidP="00633A34">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Calculation Agent</w:t>
            </w:r>
          </w:p>
        </w:tc>
        <w:tc>
          <w:tcPr>
            <w:tcW w:w="6565" w:type="dxa"/>
          </w:tcPr>
          <w:p w14:paraId="0C7B9706" w14:textId="3C4ABB26" w:rsidR="00812334" w:rsidRPr="004365B0" w:rsidRDefault="00812334" w:rsidP="00633A3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A</w:t>
            </w:r>
          </w:p>
        </w:tc>
      </w:tr>
      <w:tr w:rsidR="00812334" w:rsidRPr="004304C8" w14:paraId="2D8BA0D3" w14:textId="77777777" w:rsidTr="11B68952">
        <w:trPr>
          <w:trHeight w:val="290"/>
        </w:trPr>
        <w:tc>
          <w:tcPr>
            <w:tcW w:w="2795" w:type="dxa"/>
            <w:shd w:val="clear" w:color="auto" w:fill="D9E2F3" w:themeFill="accent1" w:themeFillTint="33"/>
            <w:noWrap/>
          </w:tcPr>
          <w:p w14:paraId="6428D0C2" w14:textId="371236B4" w:rsidR="00812334" w:rsidRPr="004304C8" w:rsidRDefault="00812334" w:rsidP="00633A34">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Documentation</w:t>
            </w:r>
          </w:p>
        </w:tc>
        <w:tc>
          <w:tcPr>
            <w:tcW w:w="6565" w:type="dxa"/>
          </w:tcPr>
          <w:p w14:paraId="0CDDA18F" w14:textId="5A0CC17C" w:rsidR="00812334" w:rsidRPr="004304C8" w:rsidRDefault="00812334" w:rsidP="00633A34">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Standard ISDA documentation; 2021 ISDA Interest Rate Derivatives Definitions</w:t>
            </w:r>
          </w:p>
        </w:tc>
      </w:tr>
      <w:tr w:rsidR="00812334" w:rsidRPr="004304C8" w14:paraId="4A602534" w14:textId="77777777" w:rsidTr="11B68952">
        <w:trPr>
          <w:trHeight w:val="290"/>
        </w:trPr>
        <w:tc>
          <w:tcPr>
            <w:tcW w:w="2795" w:type="dxa"/>
            <w:shd w:val="clear" w:color="auto" w:fill="D9E2F3" w:themeFill="accent1" w:themeFillTint="33"/>
            <w:noWrap/>
          </w:tcPr>
          <w:p w14:paraId="125381FD" w14:textId="3FF7F7E9" w:rsidR="00812334" w:rsidRPr="00352DE3" w:rsidRDefault="00812334" w:rsidP="00633A34">
            <w:pPr>
              <w:spacing w:before="60" w:after="60"/>
              <w:rPr>
                <w:rFonts w:ascii="Arial" w:hAnsi="Arial"/>
                <w:b/>
                <w:color w:val="000000" w:themeColor="text1"/>
                <w:sz w:val="20"/>
              </w:rPr>
            </w:pPr>
            <w:r w:rsidRPr="00352DE3">
              <w:rPr>
                <w:color w:val="000000" w:themeColor="text1"/>
                <w:sz w:val="20"/>
              </w:rPr>
              <w:t>No</w:t>
            </w:r>
            <w:r w:rsidRPr="004304C8">
              <w:rPr>
                <w:color w:val="000000" w:themeColor="text1"/>
                <w:sz w:val="20"/>
              </w:rPr>
              <w:t xml:space="preserve"> </w:t>
            </w:r>
            <w:r w:rsidRPr="00352DE3">
              <w:rPr>
                <w:color w:val="000000" w:themeColor="text1"/>
                <w:sz w:val="20"/>
              </w:rPr>
              <w:t>Mismatch Clause</w:t>
            </w:r>
          </w:p>
        </w:tc>
        <w:tc>
          <w:tcPr>
            <w:tcW w:w="6565" w:type="dxa"/>
          </w:tcPr>
          <w:p w14:paraId="24F41CDC" w14:textId="77777777" w:rsidR="00812334" w:rsidRPr="004304C8" w:rsidRDefault="00812334" w:rsidP="11B68952">
            <w:pPr>
              <w:spacing w:before="60" w:after="60"/>
              <w:rPr>
                <w:rFonts w:ascii="Arial" w:eastAsia="Times New Roman" w:hAnsi="Arial" w:cs="Arial"/>
                <w:color w:val="000000" w:themeColor="text1"/>
                <w:sz w:val="20"/>
                <w:szCs w:val="20"/>
              </w:rPr>
            </w:pPr>
            <w:r w:rsidRPr="11B68952">
              <w:rPr>
                <w:rFonts w:ascii="Arial" w:eastAsia="Times New Roman" w:hAnsi="Arial" w:cs="Arial"/>
                <w:color w:val="000000" w:themeColor="text1"/>
                <w:sz w:val="20"/>
                <w:szCs w:val="20"/>
              </w:rPr>
              <w:t>IFC has entered into this transaction in order to hedge the cash flows associated with i94</w:t>
            </w:r>
          </w:p>
          <w:p w14:paraId="4403F96A" w14:textId="77777777" w:rsidR="00812334" w:rsidRPr="004304C8" w:rsidRDefault="00812334" w:rsidP="00633A34">
            <w:pPr>
              <w:spacing w:before="60" w:after="60"/>
              <w:rPr>
                <w:rFonts w:ascii="Arial" w:eastAsia="Times New Roman" w:hAnsi="Arial" w:cs="Arial"/>
                <w:color w:val="000000" w:themeColor="text1"/>
                <w:sz w:val="20"/>
                <w:szCs w:val="20"/>
              </w:rPr>
            </w:pPr>
            <w:r w:rsidRPr="11B68952">
              <w:rPr>
                <w:rFonts w:ascii="Arial" w:eastAsia="Times New Roman" w:hAnsi="Arial" w:cs="Arial"/>
                <w:color w:val="000000" w:themeColor="text1"/>
                <w:sz w:val="20"/>
                <w:szCs w:val="20"/>
              </w:rPr>
              <w:t xml:space="preserve">Notes. Unless Party </w:t>
            </w:r>
            <w:r w:rsidRPr="11B68952">
              <w:rPr>
                <w:rFonts w:ascii="Arial" w:eastAsia="Yu Mincho" w:hAnsi="Arial" w:cs="Arial"/>
                <w:color w:val="000000" w:themeColor="text1"/>
                <w:sz w:val="20"/>
                <w:szCs w:val="20"/>
                <w:lang w:eastAsia="ja-JP"/>
              </w:rPr>
              <w:t>A</w:t>
            </w:r>
            <w:r w:rsidRPr="11B68952">
              <w:rPr>
                <w:rFonts w:ascii="Arial" w:eastAsia="Times New Roman" w:hAnsi="Arial" w:cs="Arial"/>
                <w:color w:val="000000" w:themeColor="text1"/>
                <w:sz w:val="20"/>
                <w:szCs w:val="20"/>
              </w:rPr>
              <w:t xml:space="preserve"> payment amount is negative, </w:t>
            </w:r>
            <w:r w:rsidRPr="11B68952">
              <w:rPr>
                <w:rFonts w:ascii="Arial" w:eastAsia="Yu Mincho" w:hAnsi="Arial" w:cs="Arial"/>
                <w:color w:val="000000" w:themeColor="text1"/>
                <w:sz w:val="20"/>
                <w:szCs w:val="20"/>
                <w:lang w:eastAsia="ja-JP"/>
              </w:rPr>
              <w:t>t</w:t>
            </w:r>
            <w:r w:rsidRPr="11B68952">
              <w:rPr>
                <w:rFonts w:ascii="Arial" w:eastAsia="Times New Roman" w:hAnsi="Arial" w:cs="Arial"/>
                <w:color w:val="000000" w:themeColor="text1"/>
                <w:sz w:val="20"/>
                <w:szCs w:val="20"/>
              </w:rPr>
              <w:t>he terms of the swap confirmation shall be construed with the intention that the amounts payable by Party A under this transaction shall be equal to the corresponding amounts payable by IFC under the Notes.</w:t>
            </w:r>
          </w:p>
          <w:p w14:paraId="67843B03" w14:textId="77777777" w:rsidR="00812334" w:rsidRPr="004304C8" w:rsidRDefault="00812334" w:rsidP="00633A3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lastRenderedPageBreak/>
              <w:t>In the event of there being any omission from the swap confirmation or any conflict or inconsistency between the provisions of the swap confirmation and the terms of the Notes in effect on its original issue date, the terms of the Notes in effect on its original issue date or, if the parties have agreed to amendments to the swap confirmation to account for amendments to the terms of the Notes subsequent to the original issue date (the “Amended Notes”), the terms of the Amended Notes shall prevail and be deemed to govern the swap confirmation and the swap confirmation shall be deemed to be amended accordingly so as to remedy any such omission, conflict or inconsistency.</w:t>
            </w:r>
          </w:p>
          <w:p w14:paraId="28AE863A" w14:textId="56D8C452" w:rsidR="00812334" w:rsidRPr="004304C8" w:rsidRDefault="00812334" w:rsidP="00633A34">
            <w:pPr>
              <w:spacing w:before="60" w:after="60"/>
              <w:rPr>
                <w:rFonts w:ascii="Arial" w:eastAsia="Times New Roman" w:hAnsi="Arial" w:cs="Arial"/>
                <w:color w:val="000000" w:themeColor="text1"/>
                <w:sz w:val="20"/>
                <w:szCs w:val="20"/>
              </w:rPr>
            </w:pPr>
            <w:r w:rsidRPr="00F67405">
              <w:rPr>
                <w:rFonts w:ascii="Arial" w:hAnsi="Arial"/>
                <w:color w:val="000000" w:themeColor="text1"/>
                <w:sz w:val="20"/>
              </w:rPr>
              <w:t>For the purposes of the swap confirmation, Notes means</w:t>
            </w:r>
            <w:r>
              <w:rPr>
                <w:rFonts w:ascii="Arial" w:hAnsi="Arial"/>
                <w:color w:val="000000" w:themeColor="text1"/>
                <w:sz w:val="20"/>
              </w:rPr>
              <w:t xml:space="preserve"> </w:t>
            </w:r>
            <w:r w:rsidRPr="00167797">
              <w:rPr>
                <w:rFonts w:ascii="Arial" w:hAnsi="Arial"/>
                <w:b/>
                <w:bCs/>
                <w:color w:val="000000" w:themeColor="text1"/>
                <w:sz w:val="20"/>
              </w:rPr>
              <w:t>IFC SOFR FRN USD [xx] mm due [</w:t>
            </w:r>
            <w:r>
              <w:rPr>
                <w:rFonts w:ascii="Arial" w:hAnsi="Arial"/>
                <w:b/>
                <w:bCs/>
                <w:color w:val="000000" w:themeColor="text1"/>
                <w:sz w:val="20"/>
              </w:rPr>
              <w:t xml:space="preserve">  </w:t>
            </w:r>
            <w:r w:rsidRPr="00167797">
              <w:rPr>
                <w:rFonts w:ascii="Arial" w:hAnsi="Arial"/>
                <w:b/>
                <w:bCs/>
                <w:color w:val="000000" w:themeColor="text1"/>
                <w:sz w:val="20"/>
              </w:rPr>
              <w:t>]</w:t>
            </w:r>
            <w:r w:rsidRPr="00F67405">
              <w:rPr>
                <w:rFonts w:ascii="Arial" w:hAnsi="Arial"/>
                <w:color w:val="000000" w:themeColor="text1"/>
                <w:sz w:val="20"/>
              </w:rPr>
              <w:t xml:space="preserve">; ISIN: </w:t>
            </w:r>
            <w:r>
              <w:rPr>
                <w:rFonts w:ascii="Arial" w:hAnsi="Arial"/>
                <w:color w:val="000000" w:themeColor="text1"/>
                <w:sz w:val="20"/>
              </w:rPr>
              <w:t>[  ]</w:t>
            </w:r>
            <w:r w:rsidRPr="00F67405">
              <w:rPr>
                <w:rFonts w:ascii="Arial" w:hAnsi="Arial"/>
                <w:color w:val="000000" w:themeColor="text1"/>
                <w:sz w:val="20"/>
              </w:rPr>
              <w:t>.</w:t>
            </w:r>
          </w:p>
        </w:tc>
      </w:tr>
      <w:tr w:rsidR="00812334" w:rsidRPr="004304C8" w14:paraId="2724B1C3" w14:textId="77777777" w:rsidTr="11B68952">
        <w:trPr>
          <w:trHeight w:val="290"/>
        </w:trPr>
        <w:tc>
          <w:tcPr>
            <w:tcW w:w="2795" w:type="dxa"/>
            <w:shd w:val="clear" w:color="auto" w:fill="D9E2F3" w:themeFill="accent1" w:themeFillTint="33"/>
            <w:noWrap/>
          </w:tcPr>
          <w:p w14:paraId="6E8DA689" w14:textId="54F05CA6" w:rsidR="00812334" w:rsidRPr="004304C8" w:rsidRDefault="00812334" w:rsidP="00633A34">
            <w:pPr>
              <w:spacing w:before="60" w:after="60"/>
              <w:rPr>
                <w:rFonts w:ascii="Arial" w:eastAsia="Times New Roman" w:hAnsi="Arial" w:cs="Arial"/>
                <w:b/>
                <w:bCs/>
                <w:color w:val="000000" w:themeColor="text1"/>
                <w:sz w:val="20"/>
                <w:szCs w:val="20"/>
              </w:rPr>
            </w:pPr>
          </w:p>
        </w:tc>
        <w:tc>
          <w:tcPr>
            <w:tcW w:w="6565" w:type="dxa"/>
          </w:tcPr>
          <w:p w14:paraId="4B3ABAFF" w14:textId="241F247F" w:rsidR="00812334" w:rsidRPr="004304C8" w:rsidRDefault="00812334" w:rsidP="00633A34">
            <w:pPr>
              <w:spacing w:before="60" w:after="60"/>
              <w:rPr>
                <w:rFonts w:ascii="Arial" w:eastAsia="Times New Roman" w:hAnsi="Arial" w:cs="Arial"/>
                <w:color w:val="000000" w:themeColor="text1"/>
                <w:sz w:val="20"/>
                <w:szCs w:val="20"/>
              </w:rPr>
            </w:pPr>
          </w:p>
        </w:tc>
      </w:tr>
      <w:tr w:rsidR="00812334" w:rsidRPr="004304C8" w14:paraId="7C31A158" w14:textId="77777777" w:rsidTr="11B68952">
        <w:trPr>
          <w:trHeight w:val="290"/>
        </w:trPr>
        <w:tc>
          <w:tcPr>
            <w:tcW w:w="2795" w:type="dxa"/>
            <w:shd w:val="clear" w:color="auto" w:fill="D9E2F3" w:themeFill="accent1" w:themeFillTint="33"/>
            <w:noWrap/>
          </w:tcPr>
          <w:p w14:paraId="45C4599C" w14:textId="5C1477FD" w:rsidR="00812334" w:rsidRPr="004304C8" w:rsidRDefault="00812334" w:rsidP="00633A34">
            <w:pPr>
              <w:spacing w:before="60" w:after="60"/>
              <w:rPr>
                <w:rFonts w:ascii="Arial" w:eastAsia="Times New Roman" w:hAnsi="Arial" w:cs="Arial"/>
                <w:b/>
                <w:bCs/>
                <w:color w:val="000000" w:themeColor="text1"/>
                <w:sz w:val="20"/>
                <w:szCs w:val="20"/>
              </w:rPr>
            </w:pPr>
          </w:p>
        </w:tc>
        <w:tc>
          <w:tcPr>
            <w:tcW w:w="6565" w:type="dxa"/>
          </w:tcPr>
          <w:p w14:paraId="18AE925C" w14:textId="184C1BD3" w:rsidR="00812334" w:rsidRPr="004304C8" w:rsidRDefault="00812334" w:rsidP="00633A34">
            <w:pPr>
              <w:spacing w:before="60" w:after="60"/>
              <w:rPr>
                <w:rFonts w:ascii="Arial" w:eastAsia="Times New Roman" w:hAnsi="Arial" w:cs="Arial"/>
                <w:color w:val="000000" w:themeColor="text1"/>
                <w:sz w:val="20"/>
                <w:szCs w:val="20"/>
              </w:rPr>
            </w:pPr>
          </w:p>
        </w:tc>
      </w:tr>
      <w:tr w:rsidR="00812334" w:rsidRPr="004304C8" w14:paraId="0FD74D49" w14:textId="77777777" w:rsidTr="11B68952">
        <w:trPr>
          <w:trHeight w:val="290"/>
        </w:trPr>
        <w:tc>
          <w:tcPr>
            <w:tcW w:w="2795" w:type="dxa"/>
            <w:shd w:val="clear" w:color="auto" w:fill="D9E2F3" w:themeFill="accent1" w:themeFillTint="33"/>
            <w:noWrap/>
          </w:tcPr>
          <w:p w14:paraId="736897C2" w14:textId="72DA78D3" w:rsidR="00812334" w:rsidRPr="000D20D9" w:rsidRDefault="00812334" w:rsidP="00633A34">
            <w:pPr>
              <w:pStyle w:val="Tabletext"/>
              <w:spacing w:before="60" w:after="60"/>
              <w:rPr>
                <w:color w:val="000000" w:themeColor="text1"/>
                <w:sz w:val="20"/>
              </w:rPr>
            </w:pPr>
          </w:p>
        </w:tc>
        <w:tc>
          <w:tcPr>
            <w:tcW w:w="6565" w:type="dxa"/>
          </w:tcPr>
          <w:p w14:paraId="36FC806B" w14:textId="763CC3FE" w:rsidR="00812334" w:rsidRPr="00352DE3" w:rsidRDefault="00812334" w:rsidP="00633A34">
            <w:pPr>
              <w:spacing w:before="60" w:after="60"/>
              <w:jc w:val="both"/>
              <w:rPr>
                <w:color w:val="000000" w:themeColor="text1"/>
                <w:sz w:val="20"/>
              </w:rPr>
            </w:pPr>
          </w:p>
        </w:tc>
      </w:tr>
      <w:bookmarkEnd w:id="4"/>
    </w:tbl>
    <w:p w14:paraId="53FEC35B" w14:textId="77777777" w:rsidR="005F2422" w:rsidRDefault="005F2422">
      <w:pPr>
        <w:rPr>
          <w:rFonts w:ascii="Arial" w:hAnsi="Arial"/>
          <w:b/>
          <w:i/>
          <w:color w:val="000000" w:themeColor="text1"/>
          <w:sz w:val="20"/>
          <w:lang w:val="en-GB"/>
        </w:rPr>
      </w:pPr>
    </w:p>
    <w:p w14:paraId="11A59B43" w14:textId="77777777" w:rsidR="005F2422" w:rsidRPr="008C4FC1" w:rsidRDefault="005F2422" w:rsidP="005F2422">
      <w:pPr>
        <w:spacing w:beforeLines="20" w:before="48" w:afterLines="20" w:after="48" w:line="240" w:lineRule="auto"/>
        <w:rPr>
          <w:rFonts w:ascii="Arial" w:hAnsi="Arial" w:cs="Arial"/>
          <w:b/>
          <w:bCs/>
          <w:color w:val="000000" w:themeColor="text1"/>
          <w:sz w:val="20"/>
          <w:szCs w:val="20"/>
        </w:rPr>
      </w:pPr>
      <w:r w:rsidRPr="008C4FC1">
        <w:rPr>
          <w:rFonts w:ascii="Arial" w:hAnsi="Arial" w:cs="Arial"/>
          <w:b/>
          <w:bCs/>
          <w:color w:val="000000" w:themeColor="text1"/>
          <w:sz w:val="20"/>
          <w:szCs w:val="20"/>
        </w:rPr>
        <w:t>Definitions and Fallback Provisions</w:t>
      </w:r>
      <w:r>
        <w:rPr>
          <w:rFonts w:ascii="Arial" w:hAnsi="Arial" w:cs="Arial"/>
          <w:b/>
          <w:bCs/>
          <w:color w:val="000000" w:themeColor="text1"/>
          <w:sz w:val="20"/>
          <w:szCs w:val="20"/>
        </w:rPr>
        <w:t>:</w:t>
      </w:r>
    </w:p>
    <w:p w14:paraId="19421822" w14:textId="77777777" w:rsidR="005F2422" w:rsidRPr="003032B4" w:rsidRDefault="005F2422" w:rsidP="005F2422">
      <w:pPr>
        <w:spacing w:beforeLines="20" w:before="48" w:afterLines="20" w:after="48" w:line="240" w:lineRule="auto"/>
        <w:jc w:val="both"/>
        <w:rPr>
          <w:rFonts w:ascii="Arial" w:hAnsi="Arial" w:cs="Arial"/>
          <w:b/>
          <w:bCs/>
          <w:color w:val="000000" w:themeColor="text1"/>
          <w:sz w:val="20"/>
          <w:szCs w:val="20"/>
        </w:rPr>
      </w:pPr>
    </w:p>
    <w:p w14:paraId="17A48C12" w14:textId="77777777" w:rsidR="005F2422" w:rsidRDefault="005F2422" w:rsidP="005F2422">
      <w:pPr>
        <w:pStyle w:val="Footer"/>
        <w:jc w:val="both"/>
        <w:rPr>
          <w:rFonts w:ascii="Wells Fargo Sans" w:hAnsi="Wells Fargo Sans"/>
          <w:lang w:val="en-GB"/>
        </w:rPr>
      </w:pPr>
      <w:r w:rsidRPr="00A832C2">
        <w:rPr>
          <w:rFonts w:ascii="Wells Fargo Sans" w:hAnsi="Wells Fargo Sans"/>
          <w:b/>
          <w:lang w:val="en-GB"/>
        </w:rPr>
        <w:t>Compounded SOFR</w:t>
      </w:r>
      <w:r w:rsidRPr="00A832C2">
        <w:rPr>
          <w:rFonts w:ascii="Wells Fargo Sans" w:hAnsi="Wells Fargo Sans"/>
          <w:lang w:val="en-GB"/>
        </w:rPr>
        <w:t xml:space="preserve">: Subject to the Compounded SOFR Fallback Provisions below, for any Interest Period, Compounded SOFR will be calculated by the Calculation Agent on each Interest Determination Date as follows and the resulting percentage will be rounded, </w:t>
      </w:r>
      <w:r w:rsidRPr="00D636EA">
        <w:rPr>
          <w:rFonts w:ascii="Wells Fargo Sans" w:hAnsi="Wells Fargo Sans"/>
          <w:lang w:val="en-GB"/>
        </w:rPr>
        <w:t>if necessary to the fourth decimal place of a percentage point, 0.00005 being rounded upwards:</w:t>
      </w:r>
    </w:p>
    <w:p w14:paraId="1E9E5F77" w14:textId="77777777" w:rsidR="005F2422" w:rsidRDefault="005F2422" w:rsidP="005F2422">
      <w:pPr>
        <w:pStyle w:val="Footer"/>
        <w:jc w:val="both"/>
        <w:rPr>
          <w:rFonts w:ascii="Wells Fargo Sans" w:hAnsi="Wells Fargo Sans"/>
          <w:lang w:val="en-GB"/>
        </w:rPr>
      </w:pPr>
    </w:p>
    <w:p w14:paraId="3CC1124D" w14:textId="77777777" w:rsidR="005F2422" w:rsidRPr="00A832C2" w:rsidRDefault="00000000" w:rsidP="005F2422">
      <w:pPr>
        <w:pStyle w:val="Footer"/>
        <w:jc w:val="both"/>
        <w:rPr>
          <w:rFonts w:ascii="Wells Fargo Sans" w:hAnsi="Wells Fargo Sans"/>
          <w:lang w:val="en-GB"/>
        </w:rPr>
      </w:pPr>
      <m:oMathPara>
        <m:oMath>
          <m:d>
            <m:dPr>
              <m:ctrlPr>
                <w:rPr>
                  <w:rFonts w:ascii="Cambria Math" w:hAnsi="Cambria Math"/>
                  <w:i/>
                  <w:lang w:val="en-GB"/>
                </w:rPr>
              </m:ctrlPr>
            </m:dPr>
            <m:e>
              <m:f>
                <m:fPr>
                  <m:ctrlPr>
                    <w:rPr>
                      <w:rFonts w:ascii="Cambria Math" w:hAnsi="Cambria Math"/>
                      <w:i/>
                      <w:lang w:val="en-GB"/>
                    </w:rPr>
                  </m:ctrlPr>
                </m:fPr>
                <m:num>
                  <m:sSub>
                    <m:sSubPr>
                      <m:ctrlPr>
                        <w:rPr>
                          <w:rFonts w:ascii="Cambria Math" w:hAnsi="Cambria Math"/>
                          <w:i/>
                          <w:lang w:val="en-GB"/>
                        </w:rPr>
                      </m:ctrlPr>
                    </m:sSubPr>
                    <m:e>
                      <m:r>
                        <w:rPr>
                          <w:rFonts w:ascii="Cambria Math" w:hAnsi="Cambria Math"/>
                          <w:lang w:val="en-GB"/>
                        </w:rPr>
                        <m:t>SOFR Index</m:t>
                      </m:r>
                    </m:e>
                    <m:sub>
                      <m:r>
                        <w:rPr>
                          <w:rFonts w:ascii="Cambria Math" w:hAnsi="Cambria Math"/>
                          <w:lang w:val="en-GB"/>
                        </w:rPr>
                        <m:t>End</m:t>
                      </m:r>
                    </m:sub>
                  </m:sSub>
                </m:num>
                <m:den>
                  <m:sSub>
                    <m:sSubPr>
                      <m:ctrlPr>
                        <w:rPr>
                          <w:rFonts w:ascii="Cambria Math" w:hAnsi="Cambria Math"/>
                          <w:i/>
                          <w:lang w:val="en-GB"/>
                        </w:rPr>
                      </m:ctrlPr>
                    </m:sSubPr>
                    <m:e>
                      <m:r>
                        <w:rPr>
                          <w:rFonts w:ascii="Cambria Math" w:hAnsi="Cambria Math"/>
                          <w:lang w:val="en-GB"/>
                        </w:rPr>
                        <m:t>SOFR Index</m:t>
                      </m:r>
                    </m:e>
                    <m:sub>
                      <m:r>
                        <w:rPr>
                          <w:rFonts w:ascii="Cambria Math" w:hAnsi="Cambria Math"/>
                          <w:lang w:val="en-GB"/>
                        </w:rPr>
                        <m:t>Start</m:t>
                      </m:r>
                    </m:sub>
                  </m:sSub>
                </m:den>
              </m:f>
              <m:r>
                <w:rPr>
                  <w:rFonts w:ascii="Cambria Math" w:hAnsi="Cambria Math"/>
                  <w:lang w:val="en-GB"/>
                </w:rPr>
                <m:t>-1</m:t>
              </m:r>
            </m:e>
          </m:d>
          <m:r>
            <w:rPr>
              <w:rFonts w:ascii="Cambria Math" w:hAnsi="Cambria Math"/>
              <w:lang w:val="en-GB"/>
            </w:rPr>
            <m:t>*</m:t>
          </m:r>
          <m:d>
            <m:dPr>
              <m:ctrlPr>
                <w:rPr>
                  <w:rFonts w:ascii="Cambria Math" w:hAnsi="Cambria Math"/>
                  <w:i/>
                  <w:lang w:val="en-GB"/>
                </w:rPr>
              </m:ctrlPr>
            </m:dPr>
            <m:e>
              <m:f>
                <m:fPr>
                  <m:ctrlPr>
                    <w:rPr>
                      <w:rFonts w:ascii="Cambria Math" w:hAnsi="Cambria Math"/>
                      <w:i/>
                      <w:lang w:val="en-GB"/>
                    </w:rPr>
                  </m:ctrlPr>
                </m:fPr>
                <m:num>
                  <m:r>
                    <w:rPr>
                      <w:rFonts w:ascii="Cambria Math" w:hAnsi="Cambria Math"/>
                      <w:lang w:val="en-GB"/>
                    </w:rPr>
                    <m:t>360</m:t>
                  </m:r>
                </m:num>
                <m:den>
                  <m:sSub>
                    <m:sSubPr>
                      <m:ctrlPr>
                        <w:rPr>
                          <w:rFonts w:ascii="Cambria Math" w:hAnsi="Cambria Math"/>
                          <w:i/>
                          <w:lang w:val="en-GB"/>
                        </w:rPr>
                      </m:ctrlPr>
                    </m:sSubPr>
                    <m:e>
                      <m:r>
                        <w:rPr>
                          <w:rFonts w:ascii="Cambria Math" w:hAnsi="Cambria Math"/>
                          <w:lang w:val="en-GB"/>
                        </w:rPr>
                        <m:t>d</m:t>
                      </m:r>
                    </m:e>
                    <m:sub>
                      <m:r>
                        <w:rPr>
                          <w:rFonts w:ascii="Cambria Math" w:hAnsi="Cambria Math"/>
                          <w:lang w:val="en-GB"/>
                        </w:rPr>
                        <m:t>c</m:t>
                      </m:r>
                    </m:sub>
                  </m:sSub>
                </m:den>
              </m:f>
            </m:e>
          </m:d>
        </m:oMath>
      </m:oMathPara>
    </w:p>
    <w:p w14:paraId="55E7E50B" w14:textId="77777777" w:rsidR="005F2422" w:rsidRDefault="005F2422" w:rsidP="005F2422">
      <w:pPr>
        <w:spacing w:beforeLines="20" w:before="48" w:afterLines="20" w:after="48" w:line="240" w:lineRule="auto"/>
        <w:rPr>
          <w:rFonts w:ascii="Arial" w:hAnsi="Arial" w:cs="Arial"/>
          <w:b/>
          <w:bCs/>
          <w:color w:val="000000" w:themeColor="text1"/>
          <w:sz w:val="20"/>
          <w:szCs w:val="20"/>
        </w:rPr>
      </w:pPr>
    </w:p>
    <w:p w14:paraId="3C4AC55E" w14:textId="77777777" w:rsidR="005F2422" w:rsidRDefault="005F2422" w:rsidP="005F2422">
      <w:pPr>
        <w:pStyle w:val="Footer"/>
        <w:jc w:val="both"/>
        <w:rPr>
          <w:rFonts w:ascii="Wells Fargo Sans" w:hAnsi="Wells Fargo Sans"/>
          <w:lang w:val="en-GB"/>
        </w:rPr>
      </w:pPr>
      <w:r w:rsidRPr="00A832C2">
        <w:rPr>
          <w:rFonts w:ascii="Wells Fargo Sans" w:hAnsi="Wells Fargo Sans"/>
          <w:lang w:val="en-GB"/>
        </w:rPr>
        <w:t>where:</w:t>
      </w:r>
    </w:p>
    <w:p w14:paraId="1B826FFB" w14:textId="77777777" w:rsidR="005F2422" w:rsidRDefault="005F2422" w:rsidP="005F2422">
      <w:pPr>
        <w:pStyle w:val="Footer"/>
        <w:jc w:val="both"/>
        <w:rPr>
          <w:rFonts w:ascii="Wells Fargo Sans" w:hAnsi="Wells Fargo Sans"/>
          <w:lang w:val="en-GB"/>
        </w:rPr>
      </w:pPr>
    </w:p>
    <w:p w14:paraId="760EB8F0" w14:textId="77777777" w:rsidR="005F2422" w:rsidRDefault="005F2422" w:rsidP="005F2422">
      <w:pPr>
        <w:pStyle w:val="Footer"/>
        <w:jc w:val="both"/>
        <w:rPr>
          <w:rFonts w:ascii="Wells Fargo Sans" w:hAnsi="Wells Fargo Sans"/>
          <w:lang w:val="en-GB"/>
        </w:rPr>
      </w:pPr>
      <w:r w:rsidRPr="00D64D01">
        <w:rPr>
          <w:rFonts w:ascii="Wells Fargo Sans" w:hAnsi="Wells Fargo Sans"/>
          <w:b/>
          <w:lang w:val="en-GB"/>
        </w:rPr>
        <w:t>“Observation Period”</w:t>
      </w:r>
      <w:r w:rsidRPr="00D64D01">
        <w:rPr>
          <w:rFonts w:ascii="Wells Fargo Sans" w:hAnsi="Wells Fargo Sans"/>
          <w:lang w:val="en-GB"/>
        </w:rPr>
        <w:t xml:space="preserve"> means, in respect of each Interest Period, the period from, and including, the date which is </w:t>
      </w:r>
      <w:r>
        <w:rPr>
          <w:rFonts w:ascii="Wells Fargo Sans" w:hAnsi="Wells Fargo Sans"/>
          <w:lang w:val="en-GB"/>
        </w:rPr>
        <w:t>f</w:t>
      </w:r>
      <w:r w:rsidRPr="00D64D01">
        <w:rPr>
          <w:rFonts w:ascii="Wells Fargo Sans" w:hAnsi="Wells Fargo Sans"/>
          <w:lang w:val="en-GB"/>
        </w:rPr>
        <w:t>ive</w:t>
      </w:r>
      <w:r>
        <w:rPr>
          <w:rFonts w:ascii="Wells Fargo Sans" w:hAnsi="Wells Fargo Sans"/>
          <w:lang w:val="en-GB"/>
        </w:rPr>
        <w:t xml:space="preserve"> </w:t>
      </w:r>
      <w:r w:rsidRPr="00D64D01">
        <w:rPr>
          <w:rFonts w:ascii="Wells Fargo Sans" w:hAnsi="Wells Fargo Sans"/>
          <w:lang w:val="en-GB"/>
        </w:rPr>
        <w:t>U.S. Government Securities Business Days preceding the first date of such Interest Period to, but excluding, the date which is five U.S. Government Securities Business Days preceding the Interest Payment Date for such Interest Period (or in the final Interest Period, the Maturity Date).</w:t>
      </w:r>
      <w:r w:rsidRPr="00A832C2">
        <w:rPr>
          <w:rFonts w:ascii="Wells Fargo Sans" w:hAnsi="Wells Fargo Sans"/>
          <w:lang w:val="en-GB"/>
        </w:rPr>
        <w:t xml:space="preserve">  </w:t>
      </w:r>
    </w:p>
    <w:p w14:paraId="2DD9B757" w14:textId="77777777" w:rsidR="005F2422" w:rsidRPr="00A832C2" w:rsidRDefault="005F2422" w:rsidP="005F2422">
      <w:pPr>
        <w:pStyle w:val="Footer"/>
        <w:jc w:val="both"/>
        <w:rPr>
          <w:rFonts w:ascii="Wells Fargo Sans" w:hAnsi="Wells Fargo Sans"/>
          <w:lang w:val="en-GB"/>
        </w:rPr>
      </w:pPr>
      <w:r w:rsidRPr="00A832C2">
        <w:rPr>
          <w:rFonts w:ascii="Wells Fargo Sans" w:hAnsi="Wells Fargo Sans"/>
          <w:lang w:val="en-GB"/>
        </w:rPr>
        <w:t xml:space="preserve"> </w:t>
      </w:r>
    </w:p>
    <w:p w14:paraId="145B4AAB" w14:textId="77777777" w:rsidR="005F2422" w:rsidRDefault="005F2422" w:rsidP="005F2422">
      <w:pPr>
        <w:pStyle w:val="Footer"/>
        <w:jc w:val="both"/>
        <w:rPr>
          <w:rFonts w:ascii="Wells Fargo Sans" w:hAnsi="Wells Fargo Sans"/>
          <w:lang w:val="en-GB"/>
        </w:rPr>
      </w:pPr>
    </w:p>
    <w:p w14:paraId="0D4C2F3B" w14:textId="77777777" w:rsidR="005F2422" w:rsidRDefault="005F2422" w:rsidP="005F2422">
      <w:pPr>
        <w:pStyle w:val="Footer"/>
        <w:jc w:val="both"/>
        <w:rPr>
          <w:rFonts w:ascii="Wells Fargo Sans" w:hAnsi="Wells Fargo Sans"/>
          <w:lang w:val="en-GB"/>
        </w:rPr>
      </w:pPr>
    </w:p>
    <w:p w14:paraId="3EBCAB3F" w14:textId="77777777" w:rsidR="005F2422" w:rsidRDefault="005F2422" w:rsidP="005F2422">
      <w:pPr>
        <w:pStyle w:val="Footer"/>
        <w:jc w:val="both"/>
        <w:rPr>
          <w:rFonts w:ascii="Wells Fargo Sans" w:hAnsi="Wells Fargo Sans"/>
          <w:lang w:val="en-GB"/>
        </w:rPr>
      </w:pPr>
      <w:r w:rsidRPr="00A832C2">
        <w:rPr>
          <w:rFonts w:ascii="Wells Fargo Sans" w:hAnsi="Wells Fargo Sans"/>
          <w:lang w:val="en-GB"/>
        </w:rPr>
        <w:t>“</w:t>
      </w:r>
      <w:r w:rsidRPr="00A832C2">
        <w:rPr>
          <w:rFonts w:ascii="Wells Fargo Sans" w:hAnsi="Wells Fargo Sans"/>
          <w:b/>
          <w:lang w:val="en-GB"/>
        </w:rPr>
        <w:t xml:space="preserve">SOFR Index </w:t>
      </w:r>
      <w:r w:rsidRPr="00A832C2">
        <w:rPr>
          <w:rFonts w:ascii="Wells Fargo Sans" w:hAnsi="Wells Fargo Sans"/>
          <w:b/>
          <w:vertAlign w:val="subscript"/>
          <w:lang w:val="en-GB"/>
        </w:rPr>
        <w:t>Start</w:t>
      </w:r>
      <w:r w:rsidRPr="00A832C2">
        <w:rPr>
          <w:rFonts w:ascii="Wells Fargo Sans" w:hAnsi="Wells Fargo Sans"/>
          <w:lang w:val="en-GB"/>
        </w:rPr>
        <w:t>” means the SOFR Index value on the day which is fiv</w:t>
      </w:r>
      <w:r>
        <w:rPr>
          <w:rFonts w:ascii="Wells Fargo Sans" w:hAnsi="Wells Fargo Sans"/>
          <w:lang w:val="en-GB"/>
        </w:rPr>
        <w:t>e</w:t>
      </w:r>
      <w:r w:rsidRPr="00A832C2">
        <w:rPr>
          <w:rFonts w:ascii="Wells Fargo Sans" w:hAnsi="Wells Fargo Sans"/>
          <w:lang w:val="en-GB"/>
        </w:rPr>
        <w:t xml:space="preserve"> U.S. Government Securities Business Days preceding the first date o</w:t>
      </w:r>
      <w:r>
        <w:rPr>
          <w:rFonts w:ascii="Wells Fargo Sans" w:hAnsi="Wells Fargo Sans"/>
          <w:lang w:val="en-GB"/>
        </w:rPr>
        <w:t xml:space="preserve">f the relevant Interest Period </w:t>
      </w:r>
      <w:r w:rsidRPr="00A832C2">
        <w:rPr>
          <w:rFonts w:ascii="Wells Fargo Sans" w:hAnsi="Wells Fargo Sans"/>
          <w:lang w:val="en-GB"/>
        </w:rPr>
        <w:t xml:space="preserve"> </w:t>
      </w:r>
    </w:p>
    <w:p w14:paraId="67026E4B" w14:textId="77777777" w:rsidR="005F2422" w:rsidRDefault="005F2422" w:rsidP="005F2422">
      <w:pPr>
        <w:pStyle w:val="Footer"/>
        <w:jc w:val="both"/>
        <w:rPr>
          <w:rFonts w:ascii="Wells Fargo Sans" w:hAnsi="Wells Fargo Sans"/>
          <w:lang w:val="en-GB"/>
        </w:rPr>
      </w:pPr>
    </w:p>
    <w:p w14:paraId="634E2E5A" w14:textId="77777777" w:rsidR="005F2422" w:rsidRPr="00A832C2" w:rsidRDefault="005F2422" w:rsidP="005F2422">
      <w:pPr>
        <w:pStyle w:val="Footer"/>
        <w:jc w:val="both"/>
        <w:rPr>
          <w:rFonts w:ascii="Wells Fargo Sans" w:hAnsi="Wells Fargo Sans"/>
          <w:lang w:val="en-GB"/>
        </w:rPr>
      </w:pPr>
      <w:r w:rsidRPr="00A832C2">
        <w:rPr>
          <w:rFonts w:ascii="Wells Fargo Sans" w:hAnsi="Wells Fargo Sans"/>
          <w:lang w:val="en-GB"/>
        </w:rPr>
        <w:t>“</w:t>
      </w:r>
      <w:r w:rsidRPr="00A832C2">
        <w:rPr>
          <w:rFonts w:ascii="Wells Fargo Sans" w:hAnsi="Wells Fargo Sans"/>
          <w:b/>
          <w:lang w:val="en-GB"/>
        </w:rPr>
        <w:t xml:space="preserve">SOFR Index </w:t>
      </w:r>
      <w:r w:rsidRPr="00A832C2">
        <w:rPr>
          <w:rFonts w:ascii="Wells Fargo Sans" w:hAnsi="Wells Fargo Sans"/>
          <w:b/>
          <w:vertAlign w:val="subscript"/>
          <w:lang w:val="en-GB"/>
        </w:rPr>
        <w:t>End</w:t>
      </w:r>
      <w:r w:rsidRPr="00A832C2">
        <w:rPr>
          <w:rFonts w:ascii="Wells Fargo Sans" w:hAnsi="Wells Fargo Sans"/>
          <w:lang w:val="en-GB"/>
        </w:rPr>
        <w:t>” means the SOFR Index value on the day which is five U.S. Government Securities Business Days preceding the Interest Payment Date relating to such Interest Period (or in the final Interest Period, the Maturity Date)</w:t>
      </w:r>
    </w:p>
    <w:p w14:paraId="49551D3E" w14:textId="77777777" w:rsidR="005F2422" w:rsidRPr="00A832C2" w:rsidRDefault="005F2422" w:rsidP="005F2422">
      <w:pPr>
        <w:pStyle w:val="Footer"/>
        <w:jc w:val="both"/>
        <w:rPr>
          <w:rFonts w:ascii="Wells Fargo Sans" w:hAnsi="Wells Fargo Sans"/>
          <w:lang w:val="en-GB"/>
        </w:rPr>
      </w:pPr>
      <w:r w:rsidRPr="00A832C2">
        <w:rPr>
          <w:rFonts w:ascii="Wells Fargo Sans" w:hAnsi="Wells Fargo Sans"/>
          <w:lang w:val="en-GB"/>
        </w:rPr>
        <w:t xml:space="preserve"> </w:t>
      </w:r>
    </w:p>
    <w:p w14:paraId="614FB89A" w14:textId="77777777" w:rsidR="005F2422" w:rsidRPr="00A832C2" w:rsidRDefault="005F2422" w:rsidP="005F2422">
      <w:pPr>
        <w:pStyle w:val="Footer"/>
        <w:jc w:val="both"/>
        <w:rPr>
          <w:rFonts w:ascii="Wells Fargo Sans" w:hAnsi="Wells Fargo Sans"/>
          <w:lang w:val="en-GB"/>
        </w:rPr>
      </w:pPr>
      <w:r w:rsidRPr="00A832C2">
        <w:rPr>
          <w:rFonts w:ascii="Wells Fargo Sans" w:hAnsi="Wells Fargo Sans"/>
          <w:lang w:val="en-GB"/>
        </w:rPr>
        <w:t>“</w:t>
      </w:r>
      <w:r w:rsidRPr="00A832C2">
        <w:rPr>
          <w:rFonts w:ascii="Wells Fargo Sans" w:hAnsi="Wells Fargo Sans"/>
          <w:b/>
          <w:lang w:val="en-GB"/>
        </w:rPr>
        <w:t>d</w:t>
      </w:r>
      <w:r w:rsidRPr="00A832C2">
        <w:rPr>
          <w:rFonts w:ascii="Wells Fargo Sans" w:hAnsi="Wells Fargo Sans"/>
          <w:b/>
          <w:vertAlign w:val="subscript"/>
          <w:lang w:val="en-GB"/>
        </w:rPr>
        <w:t>c</w:t>
      </w:r>
      <w:r w:rsidRPr="00A832C2">
        <w:rPr>
          <w:rFonts w:ascii="Wells Fargo Sans" w:hAnsi="Wells Fargo Sans"/>
          <w:lang w:val="en-GB"/>
        </w:rPr>
        <w:t xml:space="preserve">” </w:t>
      </w:r>
      <w:r w:rsidRPr="00213D98">
        <w:rPr>
          <w:rFonts w:ascii="Wells Fargo Sans" w:hAnsi="Wells Fargo Sans"/>
          <w:lang w:val="en-GB"/>
        </w:rPr>
        <w:t>means the number of calendar days in the Observation Period relating to such Interest Period.</w:t>
      </w:r>
    </w:p>
    <w:p w14:paraId="4A69C70F" w14:textId="77777777" w:rsidR="005F2422" w:rsidRDefault="005F2422" w:rsidP="005F2422">
      <w:pPr>
        <w:pStyle w:val="Footer"/>
        <w:jc w:val="both"/>
        <w:rPr>
          <w:rFonts w:ascii="Wells Fargo Sans" w:hAnsi="Wells Fargo Sans"/>
          <w:lang w:val="en-GB"/>
        </w:rPr>
      </w:pPr>
    </w:p>
    <w:p w14:paraId="57065F7E" w14:textId="77777777" w:rsidR="005F2422" w:rsidRPr="00213D98" w:rsidRDefault="005F2422" w:rsidP="005F2422">
      <w:pPr>
        <w:pStyle w:val="Footer"/>
        <w:jc w:val="both"/>
        <w:rPr>
          <w:rFonts w:ascii="Wells Fargo Sans" w:hAnsi="Wells Fargo Sans"/>
          <w:lang w:val="en-GB"/>
        </w:rPr>
      </w:pPr>
      <w:r w:rsidRPr="00213D98">
        <w:rPr>
          <w:rFonts w:ascii="Wells Fargo Sans" w:hAnsi="Wells Fargo Sans"/>
          <w:b/>
          <w:lang w:val="en-GB"/>
        </w:rPr>
        <w:t>SOFR Administrator</w:t>
      </w:r>
      <w:r>
        <w:rPr>
          <w:rFonts w:ascii="Wells Fargo Sans" w:hAnsi="Wells Fargo Sans"/>
          <w:b/>
          <w:lang w:val="en-GB"/>
        </w:rPr>
        <w:t>:</w:t>
      </w:r>
      <w:r w:rsidRPr="00213D98">
        <w:rPr>
          <w:rFonts w:ascii="Wells Fargo Sans" w:hAnsi="Wells Fargo Sans"/>
          <w:b/>
          <w:lang w:val="en-GB"/>
        </w:rPr>
        <w:t xml:space="preserve"> </w:t>
      </w:r>
      <w:r w:rsidRPr="00213D98">
        <w:rPr>
          <w:rFonts w:ascii="Wells Fargo Sans" w:hAnsi="Wells Fargo Sans"/>
          <w:lang w:val="en-GB"/>
        </w:rPr>
        <w:t>means the Federal Reserve Bank of New York (“NY Fed”) as administrator of the secured overnight financing rate (“SOFR”) (or a successor administrator of SOFR)</w:t>
      </w:r>
    </w:p>
    <w:p w14:paraId="2A8A44D5" w14:textId="77777777" w:rsidR="005F2422" w:rsidRDefault="005F2422" w:rsidP="005F2422">
      <w:pPr>
        <w:pStyle w:val="Footer"/>
        <w:jc w:val="both"/>
        <w:rPr>
          <w:rFonts w:ascii="Wells Fargo Sans" w:hAnsi="Wells Fargo Sans"/>
          <w:b/>
          <w:lang w:val="en-GB"/>
        </w:rPr>
      </w:pPr>
    </w:p>
    <w:p w14:paraId="157F73FA" w14:textId="5AFB5973" w:rsidR="005F2422" w:rsidRDefault="005F2422" w:rsidP="005F2422">
      <w:pPr>
        <w:pStyle w:val="Footer"/>
        <w:jc w:val="both"/>
        <w:rPr>
          <w:rFonts w:ascii="Wells Fargo Sans" w:hAnsi="Wells Fargo Sans"/>
          <w:lang w:val="en-GB"/>
        </w:rPr>
      </w:pPr>
      <w:r w:rsidRPr="00A832C2">
        <w:rPr>
          <w:rFonts w:ascii="Wells Fargo Sans" w:hAnsi="Wells Fargo Sans"/>
          <w:b/>
          <w:lang w:val="en-GB"/>
        </w:rPr>
        <w:t>SOFR Index:</w:t>
      </w:r>
      <w:r>
        <w:rPr>
          <w:rFonts w:ascii="Wells Fargo Sans" w:hAnsi="Wells Fargo Sans"/>
          <w:lang w:val="en-GB"/>
        </w:rPr>
        <w:t xml:space="preserve"> </w:t>
      </w:r>
      <w:r w:rsidRPr="00213D98">
        <w:rPr>
          <w:rFonts w:ascii="Wells Fargo Sans" w:hAnsi="Wells Fargo Sans"/>
          <w:lang w:val="en-GB"/>
        </w:rPr>
        <w:t xml:space="preserve">in relation to any U.S. Government Securities Business Day shall be the value published by the SOFR Administrator on its website (on or about 3:00 p.m. (New York Time) on such U.S. Government Securities Business Day (the “SOFR Index Determination Time”). Currently, the SOFR Administrator publishes the SOFR Index on its website </w:t>
      </w:r>
      <w:r w:rsidRPr="00A402D3">
        <w:rPr>
          <w:rFonts w:ascii="Wells Fargo Sans" w:hAnsi="Wells Fargo Sans"/>
          <w:lang w:val="en-GB"/>
        </w:rPr>
        <w:t>at (</w:t>
      </w:r>
      <w:hyperlink r:id="rId13" w:tgtFrame="_blank" w:tooltip="https://www.newyorkfed.org/markets/reference-rates/sofr-averages-and-index" w:history="1">
        <w:r w:rsidR="00FF6992" w:rsidRPr="00A402D3">
          <w:rPr>
            <w:rStyle w:val="Hyperlink"/>
          </w:rPr>
          <w:t>https://www.newyorkfed.org/markets/reference-rates/sofr-averages-and-index</w:t>
        </w:r>
      </w:hyperlink>
      <w:r w:rsidRPr="00A402D3">
        <w:rPr>
          <w:rFonts w:ascii="Wells Fargo Sans" w:hAnsi="Wells Fargo Sans"/>
          <w:lang w:val="en-GB"/>
        </w:rPr>
        <w:t>)</w:t>
      </w:r>
      <w:r>
        <w:rPr>
          <w:rFonts w:ascii="Wells Fargo Sans" w:hAnsi="Wells Fargo Sans"/>
          <w:lang w:val="en-GB"/>
        </w:rPr>
        <w:t xml:space="preserve"> </w:t>
      </w:r>
      <w:r w:rsidRPr="00213D98">
        <w:rPr>
          <w:rFonts w:ascii="Wells Fargo Sans" w:hAnsi="Wells Fargo Sans"/>
          <w:lang w:val="en-GB"/>
        </w:rPr>
        <w:t>. In the event that the value originally published by the SOFR Administrator on or about 3:00 p.m. (New York Time) on any U.S. Government Securities Business Day is subsequently corrected and such corrected value is published by the SOFR Administrator on the original date of publication, then such corrected value, instead of the value that was originally published, shall be deemed the SOFR Index as of the SOFR Index Determination Time in relation to such U.S. Government Securities Business Day.</w:t>
      </w:r>
    </w:p>
    <w:p w14:paraId="5590F411" w14:textId="77777777" w:rsidR="005F2422" w:rsidRPr="004D7801" w:rsidRDefault="005F2422" w:rsidP="005F2422">
      <w:pPr>
        <w:pStyle w:val="Footer"/>
        <w:jc w:val="both"/>
        <w:rPr>
          <w:rFonts w:ascii="Wells Fargo Sans" w:hAnsi="Wells Fargo Sans"/>
          <w:lang w:val="en-GB"/>
        </w:rPr>
      </w:pPr>
    </w:p>
    <w:p w14:paraId="6679D440" w14:textId="77777777" w:rsidR="00FE7C6E" w:rsidRDefault="00FE7C6E" w:rsidP="00FE7C6E">
      <w:pPr>
        <w:pStyle w:val="Footer"/>
        <w:jc w:val="both"/>
        <w:rPr>
          <w:rFonts w:ascii="Wells Fargo Sans" w:hAnsi="Wells Fargo Sans"/>
          <w:lang w:val="en-GB"/>
        </w:rPr>
      </w:pPr>
      <w:r w:rsidRPr="001B08F3">
        <w:rPr>
          <w:rFonts w:ascii="Wells Fargo Sans" w:hAnsi="Wells Fargo Sans"/>
          <w:b/>
          <w:bCs/>
          <w:lang w:val="en-GB"/>
        </w:rPr>
        <w:t>U.S. Government Securities Business Day</w:t>
      </w:r>
      <w:r w:rsidRPr="001B08F3">
        <w:rPr>
          <w:rFonts w:ascii="Wells Fargo Sans" w:hAnsi="Wells Fargo Sans"/>
          <w:lang w:val="en-GB"/>
        </w:rPr>
        <w:t>: means any day, except for a Saturday, Sunday or a day on which the Securities Industry and Financial Markets Association recommends that the fixed income</w:t>
      </w:r>
      <w:r>
        <w:rPr>
          <w:rFonts w:ascii="Wells Fargo Sans" w:hAnsi="Wells Fargo Sans" w:hint="eastAsia"/>
          <w:lang w:val="en-GB" w:eastAsia="ja-JP"/>
        </w:rPr>
        <w:t xml:space="preserve"> </w:t>
      </w:r>
      <w:r w:rsidRPr="001B08F3">
        <w:rPr>
          <w:rFonts w:ascii="Wells Fargo Sans" w:hAnsi="Wells Fargo Sans"/>
          <w:lang w:val="en-GB"/>
        </w:rPr>
        <w:t>departments of its members be closed for the entire day for purposes of trading in U.S. government securities.</w:t>
      </w:r>
    </w:p>
    <w:p w14:paraId="31EDE841" w14:textId="77777777" w:rsidR="00FE7C6E" w:rsidRDefault="00FE7C6E" w:rsidP="005F2422">
      <w:pPr>
        <w:pStyle w:val="Footer"/>
        <w:jc w:val="both"/>
        <w:rPr>
          <w:rFonts w:ascii="Wells Fargo Sans" w:hAnsi="Wells Fargo Sans"/>
          <w:b/>
          <w:lang w:val="en-GB"/>
        </w:rPr>
      </w:pPr>
    </w:p>
    <w:p w14:paraId="34F01D7F" w14:textId="43F89160" w:rsidR="005F2422" w:rsidRDefault="005F2422" w:rsidP="005F2422">
      <w:pPr>
        <w:pStyle w:val="Footer"/>
        <w:jc w:val="both"/>
        <w:rPr>
          <w:rFonts w:ascii="Wells Fargo Sans" w:hAnsi="Wells Fargo Sans"/>
          <w:lang w:val="en-GB"/>
        </w:rPr>
      </w:pPr>
      <w:r w:rsidRPr="00A832C2">
        <w:rPr>
          <w:rFonts w:ascii="Wells Fargo Sans" w:hAnsi="Wells Fargo Sans"/>
          <w:b/>
          <w:lang w:val="en-GB"/>
        </w:rPr>
        <w:t>SOFR Index Unavailable</w:t>
      </w:r>
      <w:r w:rsidRPr="00A832C2">
        <w:rPr>
          <w:rFonts w:ascii="Wells Fargo Sans" w:hAnsi="Wells Fargo Sans"/>
          <w:lang w:val="en-GB"/>
        </w:rPr>
        <w:t>: If a SOFR Index</w:t>
      </w:r>
      <w:r w:rsidRPr="00A832C2">
        <w:rPr>
          <w:rFonts w:ascii="Wells Fargo Sans" w:hAnsi="Wells Fargo Sans"/>
          <w:vertAlign w:val="subscript"/>
          <w:lang w:val="en-GB"/>
        </w:rPr>
        <w:t>Start</w:t>
      </w:r>
      <w:r w:rsidRPr="00A832C2">
        <w:rPr>
          <w:rFonts w:ascii="Wells Fargo Sans" w:hAnsi="Wells Fargo Sans"/>
          <w:lang w:val="en-GB"/>
        </w:rPr>
        <w:t xml:space="preserve"> or SOFR Index</w:t>
      </w:r>
      <w:r w:rsidRPr="00A832C2">
        <w:rPr>
          <w:rFonts w:ascii="Wells Fargo Sans" w:hAnsi="Wells Fargo Sans"/>
          <w:vertAlign w:val="subscript"/>
          <w:lang w:val="en-GB"/>
        </w:rPr>
        <w:t>End</w:t>
      </w:r>
      <w:r w:rsidRPr="00A832C2">
        <w:rPr>
          <w:rFonts w:ascii="Wells Fargo Sans" w:hAnsi="Wells Fargo Sans"/>
          <w:lang w:val="en-GB"/>
        </w:rPr>
        <w:t xml:space="preserve"> is not published on the associated Interest Determination Date and a Benchmark Transition Event and its related Benchmark Replacement Date have not occurred with respect to SOFR, “Compounded SOFR” means, for the applicable Interest Period for which such index is not available, the rate of return on a daily compounded interest investment calculated in accordance with the formula for SOFR Averages, and definitions required for such formula, published on the SOFR Administrator’s Website at </w:t>
      </w:r>
      <w:hyperlink r:id="rId14" w:history="1">
        <w:r w:rsidRPr="00AB5EB0">
          <w:rPr>
            <w:rStyle w:val="Hyperlink"/>
            <w:rFonts w:ascii="Wells Fargo Sans" w:hAnsi="Wells Fargo Sans"/>
            <w:lang w:val="en-GB"/>
          </w:rPr>
          <w:t>https://www.newyorkfed.org/markets/treasury-repo-reference-rates-information</w:t>
        </w:r>
      </w:hyperlink>
      <w:r>
        <w:rPr>
          <w:rFonts w:ascii="Wells Fargo Sans" w:hAnsi="Wells Fargo Sans"/>
          <w:lang w:val="en-GB"/>
        </w:rPr>
        <w:t xml:space="preserve"> </w:t>
      </w:r>
      <w:r w:rsidRPr="00A832C2">
        <w:rPr>
          <w:rFonts w:ascii="Wells Fargo Sans" w:hAnsi="Wells Fargo Sans"/>
          <w:lang w:val="en-GB"/>
        </w:rPr>
        <w:t>. For the purposes of this provision, references in the SOFR Averages compounding formula and related definitions to "calculation period" shall be replaced with “Observation Period” and the words “that is, 30-, 90-, or 180- calendar days” shall be removed. If the daily SOFR (“SOFR</w:t>
      </w:r>
      <w:r w:rsidRPr="00213D98">
        <w:rPr>
          <w:rFonts w:ascii="Wells Fargo Sans" w:hAnsi="Wells Fargo Sans"/>
          <w:vertAlign w:val="subscript"/>
          <w:lang w:val="en-GB"/>
        </w:rPr>
        <w:t>i</w:t>
      </w:r>
      <w:r w:rsidRPr="00A832C2">
        <w:rPr>
          <w:rFonts w:ascii="Wells Fargo Sans" w:hAnsi="Wells Fargo Sans"/>
          <w:lang w:val="en-GB"/>
        </w:rPr>
        <w:t>”) does not so appear for any day, “i” in the Observation Period, SOFRi for such day “i” shall be SOFR published in respect of the first preceding U.S. Government Securities Business Day for which SOFR was published on the SOFR Administrator's Website</w:t>
      </w:r>
    </w:p>
    <w:p w14:paraId="7AA86B7F" w14:textId="77777777" w:rsidR="005F2422" w:rsidRPr="009A3439" w:rsidRDefault="005F2422" w:rsidP="005F2422">
      <w:pPr>
        <w:pStyle w:val="BodyText3"/>
        <w:spacing w:line="240" w:lineRule="auto"/>
        <w:ind w:right="0"/>
        <w:rPr>
          <w:rFonts w:ascii="Georgia" w:hAnsi="Georgia" w:cs="Wachovia Celeste"/>
          <w:b/>
          <w:sz w:val="18"/>
          <w:szCs w:val="18"/>
          <w:lang w:val="en-GB"/>
        </w:rPr>
      </w:pPr>
    </w:p>
    <w:p w14:paraId="2A30E997" w14:textId="77777777" w:rsidR="005F2422" w:rsidRDefault="005F2422" w:rsidP="005F2422">
      <w:pPr>
        <w:pStyle w:val="Footer"/>
        <w:jc w:val="both"/>
        <w:rPr>
          <w:rFonts w:ascii="Wells Fargo Sans" w:hAnsi="Wells Fargo Sans"/>
          <w:u w:val="single"/>
        </w:rPr>
      </w:pPr>
      <w:r w:rsidRPr="006577D9">
        <w:rPr>
          <w:rFonts w:ascii="Wells Fargo Sans" w:hAnsi="Wells Fargo Sans"/>
          <w:u w:val="single"/>
        </w:rPr>
        <w:t>Effect of a Benchmark Transition Event:</w:t>
      </w:r>
    </w:p>
    <w:p w14:paraId="317E0279" w14:textId="77777777" w:rsidR="005F2422" w:rsidRPr="006577D9" w:rsidRDefault="005F2422" w:rsidP="005F2422">
      <w:pPr>
        <w:pStyle w:val="Footer"/>
        <w:jc w:val="both"/>
        <w:rPr>
          <w:rFonts w:ascii="Wells Fargo Sans" w:hAnsi="Wells Fargo Sans"/>
          <w:u w:val="single"/>
        </w:rPr>
      </w:pPr>
    </w:p>
    <w:p w14:paraId="4A31B3C6" w14:textId="77777777" w:rsidR="005F2422" w:rsidRPr="00213D98" w:rsidRDefault="005F2422" w:rsidP="005F2422">
      <w:pPr>
        <w:pStyle w:val="Footer"/>
        <w:jc w:val="both"/>
        <w:rPr>
          <w:rFonts w:ascii="Wells Fargo Sans" w:hAnsi="Wells Fargo Sans"/>
        </w:rPr>
      </w:pPr>
      <w:r w:rsidRPr="00213D98">
        <w:rPr>
          <w:rFonts w:ascii="Wells Fargo Sans" w:hAnsi="Wells Fargo Sans"/>
        </w:rPr>
        <w:t>If the Issuer determines on or prior to the relevant Reference Time that a Benchmark Transition Event and its related Benchmark Replacement Date have occurred with respect to the then-current Benchmark, the Benchmark Replacement will replace the then-current Benchmark for all purposes relating to the Notes in respect of all determinations on such date and for all determinations on all subsequent dates.</w:t>
      </w:r>
    </w:p>
    <w:p w14:paraId="6FCA8845" w14:textId="77777777" w:rsidR="005F2422" w:rsidRDefault="005F2422" w:rsidP="005F2422">
      <w:pPr>
        <w:pStyle w:val="Footer"/>
        <w:jc w:val="both"/>
        <w:rPr>
          <w:rFonts w:ascii="Wells Fargo Sans" w:hAnsi="Wells Fargo Sans"/>
        </w:rPr>
      </w:pPr>
    </w:p>
    <w:p w14:paraId="47DABAFF" w14:textId="77777777" w:rsidR="005F2422" w:rsidRPr="00213D98" w:rsidRDefault="005F2422" w:rsidP="005F2422">
      <w:pPr>
        <w:pStyle w:val="Footer"/>
        <w:jc w:val="both"/>
        <w:rPr>
          <w:rFonts w:ascii="Wells Fargo Sans" w:hAnsi="Wells Fargo Sans"/>
        </w:rPr>
      </w:pPr>
      <w:r w:rsidRPr="00213D98">
        <w:rPr>
          <w:rFonts w:ascii="Wells Fargo Sans" w:hAnsi="Wells Fargo Sans"/>
        </w:rPr>
        <w:t>In connection with the implementation of a Benchmark Replacement, the Issuer will have the right to make Benchmark Replacement Conforming Changes from time to time.</w:t>
      </w:r>
    </w:p>
    <w:p w14:paraId="2D44B343" w14:textId="77777777" w:rsidR="005F2422" w:rsidRDefault="005F2422" w:rsidP="005F2422">
      <w:pPr>
        <w:pStyle w:val="Footer"/>
        <w:jc w:val="both"/>
        <w:rPr>
          <w:rFonts w:ascii="Wells Fargo Sans" w:hAnsi="Wells Fargo Sans"/>
        </w:rPr>
      </w:pPr>
    </w:p>
    <w:p w14:paraId="3F9DD706" w14:textId="77777777" w:rsidR="005F2422" w:rsidRDefault="005F2422" w:rsidP="005F2422">
      <w:pPr>
        <w:pStyle w:val="Footer"/>
        <w:jc w:val="both"/>
        <w:rPr>
          <w:rFonts w:ascii="Wells Fargo Sans" w:hAnsi="Wells Fargo Sans"/>
        </w:rPr>
      </w:pPr>
      <w:r w:rsidRPr="00213D98">
        <w:rPr>
          <w:rFonts w:ascii="Wells Fargo Sans" w:hAnsi="Wells Fargo Sans"/>
        </w:rPr>
        <w:t>Any determination, decision or election that may be made by the Issuer pursuant to this section, including any determination with respect to a tenor, rate or adjustment or of the occurrence or non-occurrence of an event,</w:t>
      </w:r>
      <w:r>
        <w:rPr>
          <w:rFonts w:ascii="Wells Fargo Sans" w:hAnsi="Wells Fargo Sans"/>
        </w:rPr>
        <w:t xml:space="preserve"> </w:t>
      </w:r>
      <w:r w:rsidRPr="00213D98">
        <w:rPr>
          <w:rFonts w:ascii="Wells Fargo Sans" w:hAnsi="Wells Fargo Sans"/>
        </w:rPr>
        <w:t>circumstance or date and any decision to take or refrain from taking any action or any selection:</w:t>
      </w:r>
    </w:p>
    <w:p w14:paraId="254ED82C" w14:textId="77777777" w:rsidR="005F2422" w:rsidRDefault="005F2422" w:rsidP="005F2422">
      <w:pPr>
        <w:pStyle w:val="Footer"/>
        <w:jc w:val="both"/>
        <w:rPr>
          <w:rFonts w:ascii="Wells Fargo Sans" w:hAnsi="Wells Fargo Sans"/>
        </w:rPr>
      </w:pPr>
    </w:p>
    <w:p w14:paraId="5CC7E567" w14:textId="77777777" w:rsidR="005F2422" w:rsidRPr="00213D98" w:rsidRDefault="005F2422" w:rsidP="005F2422">
      <w:pPr>
        <w:pStyle w:val="Footer"/>
        <w:jc w:val="both"/>
        <w:rPr>
          <w:rFonts w:ascii="Wells Fargo Sans" w:hAnsi="Wells Fargo Sans"/>
        </w:rPr>
      </w:pPr>
      <w:r w:rsidRPr="00213D98">
        <w:rPr>
          <w:rFonts w:ascii="Wells Fargo Sans" w:hAnsi="Wells Fargo Sans"/>
        </w:rPr>
        <w:t>(1) will be conclusive and binding absent manifest error;</w:t>
      </w:r>
    </w:p>
    <w:p w14:paraId="7BB87CF3" w14:textId="77777777" w:rsidR="005F2422" w:rsidRPr="00213D98" w:rsidRDefault="005F2422" w:rsidP="005F2422">
      <w:pPr>
        <w:pStyle w:val="Footer"/>
        <w:jc w:val="both"/>
        <w:rPr>
          <w:rFonts w:ascii="Wells Fargo Sans" w:hAnsi="Wells Fargo Sans"/>
        </w:rPr>
      </w:pPr>
      <w:r w:rsidRPr="00213D98">
        <w:rPr>
          <w:rFonts w:ascii="Wells Fargo Sans" w:hAnsi="Wells Fargo Sans"/>
        </w:rPr>
        <w:lastRenderedPageBreak/>
        <w:t>(2) will be made in the sole discretion of the Issuer; and</w:t>
      </w:r>
    </w:p>
    <w:p w14:paraId="6F9E82FD" w14:textId="77777777" w:rsidR="005F2422" w:rsidRDefault="005F2422" w:rsidP="005F2422">
      <w:pPr>
        <w:pStyle w:val="Footer"/>
        <w:jc w:val="both"/>
        <w:rPr>
          <w:rFonts w:ascii="Wells Fargo Sans" w:hAnsi="Wells Fargo Sans"/>
        </w:rPr>
      </w:pPr>
      <w:r w:rsidRPr="00213D98">
        <w:rPr>
          <w:rFonts w:ascii="Wells Fargo Sans" w:hAnsi="Wells Fargo Sans"/>
        </w:rPr>
        <w:t>(3) notwithstanding anything to the contrary in the documentation relating to the Notes described herein, shall become effective without consent from the holders of the Notes or any other party.</w:t>
      </w:r>
    </w:p>
    <w:p w14:paraId="2F1428E9" w14:textId="77777777" w:rsidR="005F2422" w:rsidRDefault="005F2422" w:rsidP="005F2422">
      <w:pPr>
        <w:pStyle w:val="Footer"/>
        <w:jc w:val="both"/>
        <w:rPr>
          <w:rFonts w:ascii="Wells Fargo Sans" w:hAnsi="Wells Fargo Sans"/>
        </w:rPr>
      </w:pPr>
    </w:p>
    <w:p w14:paraId="33723602" w14:textId="77777777" w:rsidR="005F2422" w:rsidRPr="00213D98" w:rsidRDefault="005F2422" w:rsidP="005F2422">
      <w:pPr>
        <w:pStyle w:val="Footer"/>
        <w:jc w:val="both"/>
        <w:rPr>
          <w:rFonts w:ascii="Wells Fargo Sans" w:hAnsi="Wells Fargo Sans"/>
        </w:rPr>
      </w:pPr>
      <w:r w:rsidRPr="006577D9">
        <w:rPr>
          <w:rFonts w:ascii="Wells Fargo Sans" w:hAnsi="Wells Fargo Sans"/>
          <w:b/>
        </w:rPr>
        <w:t>Benchmark</w:t>
      </w:r>
      <w:r w:rsidRPr="00213D98">
        <w:rPr>
          <w:rFonts w:ascii="Wells Fargo Sans" w:hAnsi="Wells Fargo Sans"/>
        </w:rPr>
        <w:t xml:space="preserve"> means, initially, SOFR Index; provided that if the Issuer determines on or prior to the Reference Time that a Benchmark Transition Event and its related Benchmark Replacement Date have occurred with respect to SOFR Index (or the published daily SOFR used in the calculation thereof) then “Benchmark” means the applicable Benchmark Replacement for</w:t>
      </w:r>
      <w:r>
        <w:rPr>
          <w:rFonts w:ascii="Wells Fargo Sans" w:hAnsi="Wells Fargo Sans"/>
        </w:rPr>
        <w:t xml:space="preserve"> </w:t>
      </w:r>
      <w:r w:rsidRPr="00213D98">
        <w:rPr>
          <w:rFonts w:ascii="Wells Fargo Sans" w:hAnsi="Wells Fargo Sans"/>
        </w:rPr>
        <w:t>the SOFR Index; and provided further that if the Issuer determines on or prior to the Reference Time that a Benchmark Transition Event and its related Benchmark Replacement Date have occurred with respect to the then-current Benchmark (or</w:t>
      </w:r>
      <w:r>
        <w:rPr>
          <w:rFonts w:ascii="Wells Fargo Sans" w:hAnsi="Wells Fargo Sans"/>
        </w:rPr>
        <w:t xml:space="preserve"> </w:t>
      </w:r>
      <w:r w:rsidRPr="00213D98">
        <w:rPr>
          <w:rFonts w:ascii="Wells Fargo Sans" w:hAnsi="Wells Fargo Sans"/>
        </w:rPr>
        <w:t>the daily published component used in the calculation thereof), then</w:t>
      </w:r>
      <w:r>
        <w:rPr>
          <w:rFonts w:ascii="Wells Fargo Sans" w:hAnsi="Wells Fargo Sans"/>
        </w:rPr>
        <w:t xml:space="preserve"> </w:t>
      </w:r>
      <w:r w:rsidRPr="00213D98">
        <w:rPr>
          <w:rFonts w:ascii="Wells Fargo Sans" w:hAnsi="Wells Fargo Sans"/>
        </w:rPr>
        <w:t>“Benchmark” means the applicable Benchmark Replacement for the then-current Benchmark.</w:t>
      </w:r>
    </w:p>
    <w:p w14:paraId="3F8EA984" w14:textId="77777777" w:rsidR="005F2422" w:rsidRDefault="005F2422" w:rsidP="005F2422">
      <w:pPr>
        <w:pStyle w:val="Footer"/>
        <w:jc w:val="both"/>
        <w:rPr>
          <w:rFonts w:ascii="Wells Fargo Sans" w:hAnsi="Wells Fargo Sans"/>
        </w:rPr>
      </w:pPr>
    </w:p>
    <w:p w14:paraId="5F0A0F08" w14:textId="77777777" w:rsidR="005F2422" w:rsidRPr="00213D98" w:rsidRDefault="005F2422" w:rsidP="005F2422">
      <w:pPr>
        <w:pStyle w:val="Footer"/>
        <w:jc w:val="both"/>
        <w:rPr>
          <w:rFonts w:ascii="Wells Fargo Sans" w:hAnsi="Wells Fargo Sans"/>
        </w:rPr>
      </w:pPr>
      <w:r w:rsidRPr="006577D9">
        <w:rPr>
          <w:rFonts w:ascii="Wells Fargo Sans" w:hAnsi="Wells Fargo Sans"/>
          <w:b/>
        </w:rPr>
        <w:t>Benchmark Replacement</w:t>
      </w:r>
      <w:r w:rsidRPr="00213D98">
        <w:rPr>
          <w:rFonts w:ascii="Wells Fargo Sans" w:hAnsi="Wells Fargo Sans"/>
        </w:rPr>
        <w:t xml:space="preserve"> means the first alternative set forth in the order below that can be determined by the Issuer as of the Benchmark Replacement Date.</w:t>
      </w:r>
    </w:p>
    <w:p w14:paraId="1FEF9D32" w14:textId="77777777" w:rsidR="005F2422" w:rsidRPr="00213D98" w:rsidRDefault="005F2422" w:rsidP="005F2422">
      <w:pPr>
        <w:pStyle w:val="Footer"/>
        <w:jc w:val="both"/>
        <w:rPr>
          <w:rFonts w:ascii="Wells Fargo Sans" w:hAnsi="Wells Fargo Sans"/>
        </w:rPr>
      </w:pPr>
      <w:r w:rsidRPr="00213D98">
        <w:rPr>
          <w:rFonts w:ascii="Wells Fargo Sans" w:hAnsi="Wells Fargo Sans"/>
        </w:rPr>
        <w:t>(1) the sum of: (a) the alternate rate of interest that has been selected or recommended by the Relevant Governmental Body as the replacement for the then-current Benchmark and (b) the Benchmark Replacement Adjustment;</w:t>
      </w:r>
    </w:p>
    <w:p w14:paraId="466E413C" w14:textId="77777777" w:rsidR="005F2422" w:rsidRDefault="005F2422" w:rsidP="005F2422">
      <w:pPr>
        <w:pStyle w:val="Footer"/>
        <w:jc w:val="both"/>
        <w:rPr>
          <w:rFonts w:ascii="Wells Fargo Sans" w:hAnsi="Wells Fargo Sans"/>
        </w:rPr>
      </w:pPr>
      <w:r w:rsidRPr="00213D98">
        <w:rPr>
          <w:rFonts w:ascii="Wells Fargo Sans" w:hAnsi="Wells Fargo Sans"/>
        </w:rPr>
        <w:t>(2) the sum of: (a) the ISDA Fallback Rate and (b) the Benchmark Replacement Adjustment; or</w:t>
      </w:r>
    </w:p>
    <w:p w14:paraId="0EC96BDF" w14:textId="77777777" w:rsidR="005F2422" w:rsidRDefault="005F2422" w:rsidP="005F2422">
      <w:pPr>
        <w:pStyle w:val="Footer"/>
        <w:jc w:val="both"/>
        <w:rPr>
          <w:rFonts w:ascii="Wells Fargo Sans" w:hAnsi="Wells Fargo Sans"/>
        </w:rPr>
      </w:pPr>
    </w:p>
    <w:p w14:paraId="603C1204" w14:textId="77777777" w:rsidR="005F2422" w:rsidRDefault="005F2422" w:rsidP="005F2422">
      <w:pPr>
        <w:pStyle w:val="Footer"/>
        <w:jc w:val="both"/>
        <w:rPr>
          <w:rFonts w:ascii="Wells Fargo Sans" w:hAnsi="Wells Fargo Sans"/>
        </w:rPr>
      </w:pPr>
      <w:r w:rsidRPr="00213D98">
        <w:rPr>
          <w:rFonts w:ascii="Wells Fargo Sans" w:hAnsi="Wells Fargo Sans"/>
        </w:rPr>
        <w:t>(3) the sum of: (a) the alternate rate of interest that has been selected by the Issuer as the replacement for the then-current Benchmark giving due consideration to any industry-accepted rate of interest as a replacement for the then-current Benchmark for U.S. dollar-denominated floating rate notes at such time and (b) the Benchmark Replacement Adjustment;</w:t>
      </w:r>
    </w:p>
    <w:p w14:paraId="7B8C12A5" w14:textId="77777777" w:rsidR="005F2422" w:rsidRPr="00213D98" w:rsidRDefault="005F2422" w:rsidP="005F2422">
      <w:pPr>
        <w:pStyle w:val="Footer"/>
        <w:jc w:val="both"/>
        <w:rPr>
          <w:rFonts w:ascii="Wells Fargo Sans" w:hAnsi="Wells Fargo Sans"/>
        </w:rPr>
      </w:pPr>
    </w:p>
    <w:p w14:paraId="47B4330F" w14:textId="77777777" w:rsidR="005F2422" w:rsidRDefault="005F2422" w:rsidP="005F2422">
      <w:pPr>
        <w:pStyle w:val="Footer"/>
        <w:jc w:val="both"/>
        <w:rPr>
          <w:rFonts w:ascii="Wells Fargo Sans" w:hAnsi="Wells Fargo Sans"/>
        </w:rPr>
      </w:pPr>
      <w:r w:rsidRPr="00213D98">
        <w:rPr>
          <w:rFonts w:ascii="Wells Fargo Sans" w:hAnsi="Wells Fargo Sans"/>
        </w:rPr>
        <w:t>Provided that, if a Benchmark Replacement Date has occurred with regard to the daily published component used in the calculation of a Benchmark, but not with regard to the Benchmark itself, “Benchmark Replacement” means the references to the alternatives determined in accordance with clauses (1), (2) or (3) above for such daily published components.</w:t>
      </w:r>
    </w:p>
    <w:p w14:paraId="6717AEAC" w14:textId="77777777" w:rsidR="005F2422" w:rsidRDefault="005F2422" w:rsidP="005F2422">
      <w:pPr>
        <w:pStyle w:val="Footer"/>
        <w:jc w:val="both"/>
        <w:rPr>
          <w:rFonts w:ascii="Wells Fargo Sans" w:hAnsi="Wells Fargo Sans"/>
        </w:rPr>
      </w:pPr>
    </w:p>
    <w:p w14:paraId="1294EFBA" w14:textId="77777777" w:rsidR="005F2422" w:rsidRDefault="005F2422" w:rsidP="005F2422">
      <w:pPr>
        <w:pStyle w:val="Footer"/>
        <w:jc w:val="both"/>
        <w:rPr>
          <w:rFonts w:ascii="Wells Fargo Sans" w:hAnsi="Wells Fargo Sans"/>
        </w:rPr>
      </w:pPr>
      <w:r w:rsidRPr="006577D9">
        <w:rPr>
          <w:rFonts w:ascii="Wells Fargo Sans" w:hAnsi="Wells Fargo Sans"/>
          <w:b/>
        </w:rPr>
        <w:t>Benchmark Replacement Adjustment</w:t>
      </w:r>
      <w:r w:rsidRPr="006577D9">
        <w:rPr>
          <w:rFonts w:ascii="Wells Fargo Sans" w:hAnsi="Wells Fargo Sans"/>
        </w:rPr>
        <w:t xml:space="preserve"> means the first alternative set forth in the order below that can be determined by the Issuer as of the Benchmark Replacement Date:</w:t>
      </w:r>
    </w:p>
    <w:p w14:paraId="76BD73FB" w14:textId="77777777" w:rsidR="005F2422" w:rsidRPr="006577D9" w:rsidRDefault="005F2422" w:rsidP="005F2422">
      <w:pPr>
        <w:pStyle w:val="Footer"/>
        <w:jc w:val="both"/>
        <w:rPr>
          <w:rFonts w:ascii="Wells Fargo Sans" w:hAnsi="Wells Fargo Sans"/>
        </w:rPr>
      </w:pPr>
    </w:p>
    <w:p w14:paraId="5D1753FA" w14:textId="77777777" w:rsidR="005F2422" w:rsidRPr="006577D9" w:rsidRDefault="005F2422" w:rsidP="005F2422">
      <w:pPr>
        <w:pStyle w:val="Footer"/>
        <w:jc w:val="both"/>
        <w:rPr>
          <w:rFonts w:ascii="Wells Fargo Sans" w:hAnsi="Wells Fargo Sans"/>
        </w:rPr>
      </w:pPr>
      <w:r w:rsidRPr="006577D9">
        <w:rPr>
          <w:rFonts w:ascii="Wells Fargo Sans" w:hAnsi="Wells Fargo Sans"/>
        </w:rPr>
        <w:t>(1) the spread adjustment, or method for calculating or determining such spread adjustment, (which may be a positive or negative value or zero) that has been selected or recommended by the Relevant Governmental Body for the applicable Unadjusted Benchmark Replacement;</w:t>
      </w:r>
    </w:p>
    <w:p w14:paraId="62FD77F5" w14:textId="77777777" w:rsidR="005F2422" w:rsidRPr="006577D9" w:rsidRDefault="005F2422" w:rsidP="005F2422">
      <w:pPr>
        <w:pStyle w:val="Footer"/>
        <w:jc w:val="both"/>
        <w:rPr>
          <w:rFonts w:ascii="Wells Fargo Sans" w:hAnsi="Wells Fargo Sans"/>
        </w:rPr>
      </w:pPr>
      <w:r w:rsidRPr="006577D9">
        <w:rPr>
          <w:rFonts w:ascii="Wells Fargo Sans" w:hAnsi="Wells Fargo Sans"/>
        </w:rPr>
        <w:t>(2) if the applicable Unadjusted Benchmark Replacement is equivalent to the ISDA Fallback Rate, the ISDA Fallback Adjustment; or</w:t>
      </w:r>
    </w:p>
    <w:p w14:paraId="30EFDF8D" w14:textId="77777777" w:rsidR="005F2422" w:rsidRPr="006577D9" w:rsidRDefault="005F2422" w:rsidP="005F2422">
      <w:pPr>
        <w:pStyle w:val="Footer"/>
        <w:jc w:val="both"/>
        <w:rPr>
          <w:rFonts w:ascii="Wells Fargo Sans" w:hAnsi="Wells Fargo Sans"/>
        </w:rPr>
      </w:pPr>
      <w:r w:rsidRPr="006577D9">
        <w:rPr>
          <w:rFonts w:ascii="Wells Fargo Sans" w:hAnsi="Wells Fargo Sans"/>
        </w:rPr>
        <w:t>(3) the spread adjustment (which may be a positive or negative value or zero) that has been selected by the Issuer giving due consideration to any industry-accepted spread adjustment, or method for calculating or determining such spread adjustment, for the replacement of the then-current Benchmark (or the daily published component used in the calculation thereof) with the applicable Unadjusted Benchmark Replacement for U.S. dollar-denominated floating rate notes at such time.</w:t>
      </w:r>
    </w:p>
    <w:p w14:paraId="7D5FED20" w14:textId="77777777" w:rsidR="005F2422" w:rsidRDefault="005F2422" w:rsidP="005F2422">
      <w:pPr>
        <w:pStyle w:val="Footer"/>
        <w:jc w:val="both"/>
        <w:rPr>
          <w:rFonts w:ascii="Wells Fargo Sans" w:hAnsi="Wells Fargo Sans"/>
        </w:rPr>
      </w:pPr>
    </w:p>
    <w:p w14:paraId="6418DAB6" w14:textId="77777777" w:rsidR="005F2422" w:rsidRDefault="005F2422" w:rsidP="005F2422">
      <w:pPr>
        <w:pStyle w:val="Footer"/>
        <w:jc w:val="both"/>
        <w:rPr>
          <w:rFonts w:ascii="Wells Fargo Sans" w:hAnsi="Wells Fargo Sans"/>
        </w:rPr>
      </w:pPr>
      <w:r w:rsidRPr="006577D9">
        <w:rPr>
          <w:rFonts w:ascii="Wells Fargo Sans" w:hAnsi="Wells Fargo Sans"/>
          <w:b/>
        </w:rPr>
        <w:t>Benchmark Replacement Conforming Changes</w:t>
      </w:r>
      <w:r w:rsidRPr="006577D9">
        <w:rPr>
          <w:rFonts w:ascii="Wells Fargo Sans" w:hAnsi="Wells Fargo Sans"/>
        </w:rPr>
        <w:t xml:space="preserve"> means, with respect to any Benchmark Replacement, any technical, administrative or operational changes (including changes to the timing and frequency of determining rates and making payments of interest, rounding of amounts or tenors, and other administrative matters) that the Issuer decides may be appropriate to reflect the adoption </w:t>
      </w:r>
      <w:r w:rsidRPr="006577D9">
        <w:rPr>
          <w:rFonts w:ascii="Wells Fargo Sans" w:hAnsi="Wells Fargo Sans"/>
        </w:rPr>
        <w:lastRenderedPageBreak/>
        <w:t xml:space="preserve">of such Benchmark Replacement in a manner substantially consistent with market practice (or, if the Issuer decides that adoption of any portion of such market practice is not administratively feasible or if the Issuer determines that no market practice for use of the Benchmark Replacement exists, in such other manner as the Issuer determines is reasonably necessary); provided that, for the avoidance of </w:t>
      </w:r>
      <w:r>
        <w:rPr>
          <w:rFonts w:ascii="Wells Fargo Sans" w:hAnsi="Wells Fargo Sans"/>
        </w:rPr>
        <w:t>d</w:t>
      </w:r>
      <w:r w:rsidRPr="006577D9">
        <w:rPr>
          <w:rFonts w:ascii="Wells Fargo Sans" w:hAnsi="Wells Fargo Sans"/>
        </w:rPr>
        <w:t>oubt, if a Benchmark Replacement Date has occurred with regard to the daily published component used in the calculation of a Benchmark, but not with regard to the Benchmark itself, “Benchmark Replacement Conforming Changes” shall also mean that the Issuer may calculate the Benchmark Replacement for such Benchmark in accordance with the formula for and method of calculating such Benchmark</w:t>
      </w:r>
      <w:r>
        <w:rPr>
          <w:rFonts w:ascii="Wells Fargo Sans" w:hAnsi="Wells Fargo Sans"/>
        </w:rPr>
        <w:t xml:space="preserve"> </w:t>
      </w:r>
      <w:r w:rsidRPr="006577D9">
        <w:rPr>
          <w:rFonts w:ascii="Wells Fargo Sans" w:hAnsi="Wells Fargo Sans"/>
        </w:rPr>
        <w:t>last in effect prior to Benchmark Replacement Date affecting such component, substituting the affected component with the relevant Benchmark Replacement for such component</w:t>
      </w:r>
      <w:r>
        <w:rPr>
          <w:rFonts w:ascii="Wells Fargo Sans" w:hAnsi="Wells Fargo Sans"/>
        </w:rPr>
        <w:t>.</w:t>
      </w:r>
    </w:p>
    <w:p w14:paraId="288B5C26" w14:textId="77777777" w:rsidR="005F2422" w:rsidRDefault="005F2422" w:rsidP="005F2422">
      <w:pPr>
        <w:pStyle w:val="Footer"/>
        <w:jc w:val="both"/>
        <w:rPr>
          <w:rFonts w:ascii="Wells Fargo Sans" w:hAnsi="Wells Fargo Sans"/>
        </w:rPr>
      </w:pPr>
    </w:p>
    <w:p w14:paraId="055AE417" w14:textId="77777777" w:rsidR="005F2422" w:rsidRDefault="005F2422" w:rsidP="005F2422">
      <w:pPr>
        <w:pStyle w:val="Footer"/>
        <w:jc w:val="both"/>
        <w:rPr>
          <w:rFonts w:ascii="Wells Fargo Sans" w:hAnsi="Wells Fargo Sans"/>
        </w:rPr>
      </w:pPr>
      <w:r w:rsidRPr="006577D9">
        <w:rPr>
          <w:rFonts w:ascii="Wells Fargo Sans" w:hAnsi="Wells Fargo Sans"/>
          <w:b/>
        </w:rPr>
        <w:t>Benchmark Replacement Date</w:t>
      </w:r>
      <w:r w:rsidRPr="006577D9">
        <w:rPr>
          <w:rFonts w:ascii="Wells Fargo Sans" w:hAnsi="Wells Fargo Sans"/>
        </w:rPr>
        <w:t xml:space="preserve"> means the earliest to occur of the following events with respect to the then-current Benchmark (or the daily published component used in the calculation thereof):</w:t>
      </w:r>
    </w:p>
    <w:p w14:paraId="0AED085F" w14:textId="77777777" w:rsidR="005F2422" w:rsidRDefault="005F2422" w:rsidP="005F2422">
      <w:pPr>
        <w:pStyle w:val="Footer"/>
        <w:jc w:val="both"/>
        <w:rPr>
          <w:rFonts w:ascii="Wells Fargo Sans" w:hAnsi="Wells Fargo Sans"/>
        </w:rPr>
      </w:pPr>
    </w:p>
    <w:p w14:paraId="4266D8F6" w14:textId="77777777" w:rsidR="005F2422" w:rsidRDefault="005F2422" w:rsidP="005F2422">
      <w:pPr>
        <w:pStyle w:val="Footer"/>
        <w:jc w:val="both"/>
        <w:rPr>
          <w:rFonts w:ascii="Wells Fargo Sans" w:hAnsi="Wells Fargo Sans"/>
        </w:rPr>
      </w:pPr>
      <w:r w:rsidRPr="00A61085">
        <w:rPr>
          <w:rFonts w:ascii="Wells Fargo Sans" w:hAnsi="Wells Fargo Sans"/>
        </w:rPr>
        <w:t>(1</w:t>
      </w:r>
      <w:r>
        <w:rPr>
          <w:rFonts w:ascii="Wells Fargo Sans" w:hAnsi="Wells Fargo Sans"/>
        </w:rPr>
        <w:t xml:space="preserve">) </w:t>
      </w:r>
      <w:r w:rsidRPr="006577D9">
        <w:rPr>
          <w:rFonts w:ascii="Wells Fargo Sans" w:hAnsi="Wells Fargo Sans"/>
        </w:rPr>
        <w:t>in the case of clause (1) or (2) of the definition of “Benchmark Transition Event,” the later of (a) the date of the public statement or publication of information referenced therein and (b) the date on which the administrator of the Benchmark permanently or indefinitely ceases to provide the Benchmark (or such component); or</w:t>
      </w:r>
    </w:p>
    <w:p w14:paraId="7E9E34E6" w14:textId="77777777" w:rsidR="005F2422" w:rsidRPr="006577D9" w:rsidRDefault="005F2422" w:rsidP="005F2422">
      <w:pPr>
        <w:pStyle w:val="Footer"/>
        <w:jc w:val="both"/>
        <w:rPr>
          <w:rFonts w:ascii="Wells Fargo Sans" w:hAnsi="Wells Fargo Sans"/>
        </w:rPr>
      </w:pPr>
    </w:p>
    <w:p w14:paraId="16604C1A" w14:textId="77777777" w:rsidR="005F2422" w:rsidRDefault="005F2422" w:rsidP="005F2422">
      <w:pPr>
        <w:pStyle w:val="Footer"/>
        <w:jc w:val="both"/>
        <w:rPr>
          <w:rFonts w:ascii="Wells Fargo Sans" w:hAnsi="Wells Fargo Sans"/>
        </w:rPr>
      </w:pPr>
      <w:r w:rsidRPr="006577D9">
        <w:rPr>
          <w:rFonts w:ascii="Wells Fargo Sans" w:hAnsi="Wells Fargo Sans"/>
        </w:rPr>
        <w:t>(2) in the case of clause (3) of the definition of “Benchmark Transition Event,” the later of (x) the date of the public statement or publication of information referenced therein and (y) the first date on which such Benchmark (or such component) is no longer representative per such statement or publication.</w:t>
      </w:r>
    </w:p>
    <w:p w14:paraId="07542E55" w14:textId="77777777" w:rsidR="005F2422" w:rsidRDefault="005F2422" w:rsidP="005F2422">
      <w:pPr>
        <w:pStyle w:val="Footer"/>
        <w:jc w:val="both"/>
        <w:rPr>
          <w:rFonts w:ascii="Wells Fargo Sans" w:hAnsi="Wells Fargo Sans"/>
        </w:rPr>
      </w:pPr>
    </w:p>
    <w:p w14:paraId="43821EC9" w14:textId="77777777" w:rsidR="005F2422" w:rsidRDefault="005F2422" w:rsidP="005F2422">
      <w:pPr>
        <w:pStyle w:val="Footer"/>
        <w:jc w:val="both"/>
        <w:rPr>
          <w:rFonts w:ascii="Wells Fargo Sans" w:hAnsi="Wells Fargo Sans"/>
        </w:rPr>
      </w:pPr>
      <w:r w:rsidRPr="006577D9">
        <w:rPr>
          <w:rFonts w:ascii="Wells Fargo Sans" w:hAnsi="Wells Fargo Sans"/>
        </w:rPr>
        <w:t>For the avoidance of doubt, if the event that gives rise to the Benchmark Replacement Date occurs on the same day as, but earlier than, the Reference Time in respect of any determination, the Benchmark Replacement Date will be deemed to have occurred prior to the Reference Time for such determination.</w:t>
      </w:r>
    </w:p>
    <w:p w14:paraId="71E3EFCA" w14:textId="77777777" w:rsidR="005F2422" w:rsidRDefault="005F2422" w:rsidP="005F2422">
      <w:pPr>
        <w:pStyle w:val="Footer"/>
        <w:jc w:val="both"/>
        <w:rPr>
          <w:rFonts w:ascii="Wells Fargo Sans" w:hAnsi="Wells Fargo Sans"/>
        </w:rPr>
      </w:pPr>
    </w:p>
    <w:p w14:paraId="5073125E" w14:textId="77777777" w:rsidR="005F2422" w:rsidRDefault="005F2422" w:rsidP="005F2422">
      <w:pPr>
        <w:pStyle w:val="Footer"/>
        <w:jc w:val="both"/>
        <w:rPr>
          <w:rFonts w:ascii="Wells Fargo Sans" w:hAnsi="Wells Fargo Sans"/>
        </w:rPr>
      </w:pPr>
      <w:r w:rsidRPr="006577D9">
        <w:rPr>
          <w:rFonts w:ascii="Wells Fargo Sans" w:hAnsi="Wells Fargo Sans"/>
          <w:b/>
        </w:rPr>
        <w:t>Benchmark Transition Event</w:t>
      </w:r>
      <w:r w:rsidRPr="006577D9">
        <w:rPr>
          <w:rFonts w:ascii="Wells Fargo Sans" w:hAnsi="Wells Fargo Sans"/>
        </w:rPr>
        <w:t xml:space="preserve"> means the occurrence of one or more of the following events with respect to the then-current Benchmark (or the daily published component used in the calculation thereof):</w:t>
      </w:r>
    </w:p>
    <w:p w14:paraId="69946EE5" w14:textId="77777777" w:rsidR="005F2422" w:rsidRPr="006577D9" w:rsidRDefault="005F2422" w:rsidP="005F2422">
      <w:pPr>
        <w:pStyle w:val="Footer"/>
        <w:jc w:val="both"/>
        <w:rPr>
          <w:rFonts w:ascii="Wells Fargo Sans" w:hAnsi="Wells Fargo Sans"/>
        </w:rPr>
      </w:pPr>
    </w:p>
    <w:p w14:paraId="7E6F43B8" w14:textId="77777777" w:rsidR="005F2422" w:rsidRDefault="005F2422" w:rsidP="005F2422">
      <w:pPr>
        <w:pStyle w:val="Footer"/>
        <w:jc w:val="both"/>
        <w:rPr>
          <w:rFonts w:ascii="Wells Fargo Sans" w:hAnsi="Wells Fargo Sans"/>
        </w:rPr>
      </w:pPr>
      <w:r w:rsidRPr="006719D7">
        <w:rPr>
          <w:rFonts w:ascii="Wells Fargo Sans" w:hAnsi="Wells Fargo Sans"/>
        </w:rPr>
        <w:t>(1</w:t>
      </w:r>
      <w:r>
        <w:rPr>
          <w:rFonts w:ascii="Wells Fargo Sans" w:hAnsi="Wells Fargo Sans"/>
        </w:rPr>
        <w:t xml:space="preserve">) </w:t>
      </w:r>
      <w:r w:rsidRPr="006577D9">
        <w:rPr>
          <w:rFonts w:ascii="Wells Fargo Sans" w:hAnsi="Wells Fargo Sans"/>
        </w:rPr>
        <w:t>a public statement or publication of information by or on behalf of the administrator of the Benchmark (or such component) announcing that such administrator has ceased or will cease to provide the Benchmark (or such component), permanently or indefinitely, provided that, at the time of such statement or publication, there is no successor administrator that will continue to provide the Benchmark (or such component); or</w:t>
      </w:r>
    </w:p>
    <w:p w14:paraId="0D85E5B4" w14:textId="77777777" w:rsidR="005F2422" w:rsidRPr="006577D9" w:rsidRDefault="005F2422" w:rsidP="005F2422">
      <w:pPr>
        <w:pStyle w:val="Footer"/>
        <w:jc w:val="both"/>
        <w:rPr>
          <w:rFonts w:ascii="Wells Fargo Sans" w:hAnsi="Wells Fargo Sans"/>
        </w:rPr>
      </w:pPr>
    </w:p>
    <w:p w14:paraId="64C9E79B" w14:textId="77777777" w:rsidR="005F2422" w:rsidRDefault="005F2422" w:rsidP="005F2422">
      <w:pPr>
        <w:pStyle w:val="Footer"/>
        <w:jc w:val="both"/>
        <w:rPr>
          <w:rFonts w:ascii="Wells Fargo Sans" w:hAnsi="Wells Fargo Sans"/>
        </w:rPr>
      </w:pPr>
      <w:r w:rsidRPr="006577D9">
        <w:rPr>
          <w:rFonts w:ascii="Wells Fargo Sans" w:hAnsi="Wells Fargo Sans"/>
        </w:rPr>
        <w:t xml:space="preserve">(2) a public statement or publication of information by the regulatory supervisor for the administrator of the Benchmark (or such component), the central bank for the currency of the Benchmark (or such component), an insolvency official with jurisdiction over the administrator for the Benchmark (or such component), a resolution authority with jurisdiction over the administrator for the Benchmark (or such component) or a court or an entity with similar insolvency or resolution authority over the administrator for the Benchmark, which states that the administrator of the Benchmark (or such component) has ceased or will cease to provide the Benchmark (or such component) permanently or indefinitely, provided that, at the time of such statement or publication, </w:t>
      </w:r>
      <w:r w:rsidRPr="006577D9">
        <w:rPr>
          <w:rFonts w:ascii="Wells Fargo Sans" w:hAnsi="Wells Fargo Sans"/>
        </w:rPr>
        <w:lastRenderedPageBreak/>
        <w:t>there is no successor administrator that will continue to provide the Benchmark (or such component); or</w:t>
      </w:r>
    </w:p>
    <w:p w14:paraId="30C70E82" w14:textId="77777777" w:rsidR="005F2422" w:rsidRPr="006577D9" w:rsidRDefault="005F2422" w:rsidP="005F2422">
      <w:pPr>
        <w:pStyle w:val="Footer"/>
        <w:jc w:val="both"/>
        <w:rPr>
          <w:rFonts w:ascii="Wells Fargo Sans" w:hAnsi="Wells Fargo Sans"/>
        </w:rPr>
      </w:pPr>
    </w:p>
    <w:p w14:paraId="5F846BF7" w14:textId="77777777" w:rsidR="005F2422" w:rsidRDefault="005F2422" w:rsidP="005F2422">
      <w:pPr>
        <w:pStyle w:val="Footer"/>
        <w:jc w:val="both"/>
        <w:rPr>
          <w:rFonts w:ascii="Wells Fargo Sans" w:hAnsi="Wells Fargo Sans"/>
        </w:rPr>
      </w:pPr>
      <w:r w:rsidRPr="006577D9">
        <w:rPr>
          <w:rFonts w:ascii="Wells Fargo Sans" w:hAnsi="Wells Fargo Sans"/>
        </w:rPr>
        <w:t>(3) a public statement or publication of information by the regulatory supervisor for the administrator of the Benchmark announcing (A) that such Benchmark (or its</w:t>
      </w:r>
      <w:r>
        <w:rPr>
          <w:rFonts w:ascii="Wells Fargo Sans" w:hAnsi="Wells Fargo Sans"/>
        </w:rPr>
        <w:t xml:space="preserve"> </w:t>
      </w:r>
      <w:r w:rsidRPr="006577D9">
        <w:rPr>
          <w:rFonts w:ascii="Wells Fargo Sans" w:hAnsi="Wells Fargo Sans"/>
        </w:rPr>
        <w:t>component) is no longer, or as of a specified future date will no longer be, capable of being representative, or is non-representative, of the underlying market and economic reality that such Benchmark (or its component) is intended to measure as required by applicable law or regulation and as determined by the regulatory supervisor in accordance with applicable law or regulation and (B) that the intention of that statement or publication is to engage contractual triggers for fallbacks activated by pre-cessation announcements by such supervisor (howsoever described) in contracts.</w:t>
      </w:r>
    </w:p>
    <w:p w14:paraId="762EBB4B" w14:textId="77777777" w:rsidR="005F2422" w:rsidRPr="006577D9" w:rsidRDefault="005F2422" w:rsidP="005F2422">
      <w:pPr>
        <w:pStyle w:val="Footer"/>
        <w:jc w:val="both"/>
        <w:rPr>
          <w:rFonts w:ascii="Wells Fargo Sans" w:hAnsi="Wells Fargo Sans"/>
        </w:rPr>
      </w:pPr>
    </w:p>
    <w:p w14:paraId="79D420E8" w14:textId="77777777" w:rsidR="005F2422" w:rsidRDefault="005F2422" w:rsidP="005F2422">
      <w:pPr>
        <w:pStyle w:val="Footer"/>
        <w:jc w:val="both"/>
        <w:rPr>
          <w:rFonts w:ascii="Wells Fargo Sans" w:hAnsi="Wells Fargo Sans"/>
        </w:rPr>
      </w:pPr>
      <w:r w:rsidRPr="006577D9">
        <w:rPr>
          <w:rFonts w:ascii="Wells Fargo Sans" w:hAnsi="Wells Fargo Sans"/>
          <w:b/>
        </w:rPr>
        <w:t>ISDA Definitions</w:t>
      </w:r>
      <w:r w:rsidRPr="006577D9">
        <w:rPr>
          <w:rFonts w:ascii="Wells Fargo Sans" w:hAnsi="Wells Fargo Sans"/>
        </w:rPr>
        <w:t xml:space="preserve"> means the 2006 ISDA Definitions published by the International Swaps and Derivatives Association, Inc. or any successor thereto, as amended or supplemented from time to time, or any successor definitional booklet for interest rate derivatives published from time to time.</w:t>
      </w:r>
    </w:p>
    <w:p w14:paraId="59FF5D70" w14:textId="77777777" w:rsidR="005F2422" w:rsidRDefault="005F2422" w:rsidP="005F2422">
      <w:pPr>
        <w:pStyle w:val="Footer"/>
        <w:jc w:val="both"/>
        <w:rPr>
          <w:rFonts w:ascii="Wells Fargo Sans" w:hAnsi="Wells Fargo Sans"/>
        </w:rPr>
      </w:pPr>
    </w:p>
    <w:p w14:paraId="34B086F4" w14:textId="77777777" w:rsidR="005F2422" w:rsidRDefault="005F2422" w:rsidP="005F2422">
      <w:pPr>
        <w:pStyle w:val="Footer"/>
        <w:jc w:val="both"/>
        <w:rPr>
          <w:rFonts w:ascii="Wells Fargo Sans" w:hAnsi="Wells Fargo Sans"/>
        </w:rPr>
      </w:pPr>
      <w:r w:rsidRPr="006577D9">
        <w:rPr>
          <w:rFonts w:ascii="Wells Fargo Sans" w:hAnsi="Wells Fargo Sans"/>
          <w:b/>
        </w:rPr>
        <w:t>ISDA Fallback Adjustment</w:t>
      </w:r>
      <w:r w:rsidRPr="006577D9">
        <w:rPr>
          <w:rFonts w:ascii="Wells Fargo Sans" w:hAnsi="Wells Fargo Sans"/>
        </w:rPr>
        <w:t xml:space="preserve"> means the spread adjustment (which may be a positive or negative value or zero) that would apply for derivatives transactions referencing the ISDA Definitions to be determined upon the occurrence of an index cessation event with respect to the Benchmark (or the daily published component used in the calculation thereof).</w:t>
      </w:r>
    </w:p>
    <w:p w14:paraId="7335FC61" w14:textId="77777777" w:rsidR="005F2422" w:rsidRDefault="005F2422" w:rsidP="005F2422">
      <w:pPr>
        <w:pStyle w:val="Footer"/>
        <w:jc w:val="both"/>
        <w:rPr>
          <w:rFonts w:ascii="Wells Fargo Sans" w:hAnsi="Wells Fargo Sans"/>
        </w:rPr>
      </w:pPr>
    </w:p>
    <w:p w14:paraId="792008D9" w14:textId="77777777" w:rsidR="005F2422" w:rsidRDefault="005F2422" w:rsidP="005F2422">
      <w:pPr>
        <w:pStyle w:val="Footer"/>
        <w:jc w:val="both"/>
        <w:rPr>
          <w:rFonts w:ascii="Wells Fargo Sans" w:hAnsi="Wells Fargo Sans"/>
        </w:rPr>
      </w:pPr>
      <w:r w:rsidRPr="006577D9">
        <w:rPr>
          <w:rFonts w:ascii="Wells Fargo Sans" w:hAnsi="Wells Fargo Sans"/>
          <w:b/>
        </w:rPr>
        <w:t>ISDA Fallback Rate</w:t>
      </w:r>
      <w:r w:rsidRPr="006577D9">
        <w:rPr>
          <w:rFonts w:ascii="Wells Fargo Sans" w:hAnsi="Wells Fargo Sans"/>
        </w:rPr>
        <w:t xml:space="preserve"> means the rate that would apply for derivatives transactions referencing the ISDA Definitions to be effective upon the occurrence of an index cessation date with respect to the Benchmark (or the daily published component used in the calculation thereof) for the applicable tenor excluding the applicable ISDA Fallback Adjustment.</w:t>
      </w:r>
    </w:p>
    <w:p w14:paraId="5D007786" w14:textId="77777777" w:rsidR="005F2422" w:rsidRPr="006577D9" w:rsidRDefault="005F2422" w:rsidP="005F2422">
      <w:pPr>
        <w:pStyle w:val="Footer"/>
        <w:jc w:val="both"/>
        <w:rPr>
          <w:rFonts w:ascii="Wells Fargo Sans" w:hAnsi="Wells Fargo Sans"/>
        </w:rPr>
      </w:pPr>
    </w:p>
    <w:p w14:paraId="75F631E8" w14:textId="77777777" w:rsidR="005F2422" w:rsidRDefault="005F2422" w:rsidP="005F2422">
      <w:pPr>
        <w:pStyle w:val="Footer"/>
        <w:jc w:val="both"/>
        <w:rPr>
          <w:rFonts w:ascii="Wells Fargo Sans" w:hAnsi="Wells Fargo Sans"/>
        </w:rPr>
      </w:pPr>
      <w:r w:rsidRPr="006577D9">
        <w:rPr>
          <w:rFonts w:ascii="Wells Fargo Sans" w:hAnsi="Wells Fargo Sans"/>
          <w:b/>
        </w:rPr>
        <w:t>Reference Time</w:t>
      </w:r>
      <w:r w:rsidRPr="006577D9">
        <w:rPr>
          <w:rFonts w:ascii="Wells Fargo Sans" w:hAnsi="Wells Fargo Sans"/>
        </w:rPr>
        <w:t xml:space="preserve"> with respect to any determination of the Benchmark (or the daily published component used in the calculation thereof) means (1) if the Benchmark is SOFR Index, the SOFR Index Determination Time, and (2) if the Benchmark is not SOFR Index, the time determined by the Issuer after giving effect to the Benchmark Replacement Conforming Changes.</w:t>
      </w:r>
    </w:p>
    <w:p w14:paraId="00E59682" w14:textId="77777777" w:rsidR="005F2422" w:rsidRDefault="005F2422" w:rsidP="005F2422">
      <w:pPr>
        <w:pStyle w:val="Footer"/>
        <w:jc w:val="both"/>
        <w:rPr>
          <w:rFonts w:ascii="Wells Fargo Sans" w:hAnsi="Wells Fargo Sans"/>
          <w:b/>
        </w:rPr>
      </w:pPr>
    </w:p>
    <w:p w14:paraId="02CBAB35" w14:textId="77777777" w:rsidR="005F2422" w:rsidRDefault="005F2422" w:rsidP="005F2422">
      <w:pPr>
        <w:pStyle w:val="Footer"/>
        <w:jc w:val="both"/>
        <w:rPr>
          <w:rFonts w:ascii="Wells Fargo Sans" w:hAnsi="Wells Fargo Sans"/>
        </w:rPr>
      </w:pPr>
      <w:r w:rsidRPr="006577D9">
        <w:rPr>
          <w:rFonts w:ascii="Wells Fargo Sans" w:hAnsi="Wells Fargo Sans"/>
          <w:b/>
        </w:rPr>
        <w:t>Relevant Governmental Body</w:t>
      </w:r>
      <w:r w:rsidRPr="006577D9">
        <w:rPr>
          <w:rFonts w:ascii="Wells Fargo Sans" w:hAnsi="Wells Fargo Sans"/>
        </w:rPr>
        <w:t xml:space="preserve"> means the Federal Reserve Board and/or the Federal Reserve Bank of New York, or a committee officially endorsed or convened by the Federal Reserve Board and/or the Federal Reserve Bank of New York or any successor thereto.</w:t>
      </w:r>
    </w:p>
    <w:p w14:paraId="5A73C9A6" w14:textId="77777777" w:rsidR="005F2422" w:rsidRDefault="005F2422" w:rsidP="005F2422">
      <w:pPr>
        <w:pStyle w:val="Footer"/>
        <w:jc w:val="both"/>
        <w:rPr>
          <w:rFonts w:ascii="Wells Fargo Sans" w:hAnsi="Wells Fargo Sans"/>
          <w:b/>
        </w:rPr>
      </w:pPr>
    </w:p>
    <w:p w14:paraId="74AE07A8" w14:textId="794F92D1" w:rsidR="00B749AE" w:rsidRPr="004365B0" w:rsidRDefault="005F2422" w:rsidP="004365B0">
      <w:pPr>
        <w:pStyle w:val="Footer"/>
        <w:jc w:val="both"/>
        <w:rPr>
          <w:rFonts w:ascii="Wells Fargo Sans" w:hAnsi="Wells Fargo Sans"/>
        </w:rPr>
      </w:pPr>
      <w:r w:rsidRPr="006577D9">
        <w:rPr>
          <w:rFonts w:ascii="Wells Fargo Sans" w:hAnsi="Wells Fargo Sans"/>
          <w:b/>
        </w:rPr>
        <w:t>Unadjusted Benchmark Replacement</w:t>
      </w:r>
      <w:r w:rsidRPr="006577D9">
        <w:rPr>
          <w:rFonts w:ascii="Wells Fargo Sans" w:hAnsi="Wells Fargo Sans"/>
        </w:rPr>
        <w:t xml:space="preserve"> means the Benchmark Replacement excluding the Benchmark Replacement Adjustment.</w:t>
      </w:r>
      <w:r w:rsidR="00B749AE" w:rsidRPr="004304C8">
        <w:rPr>
          <w:rFonts w:ascii="Arial" w:hAnsi="Arial"/>
          <w:b/>
          <w:i/>
          <w:color w:val="000000" w:themeColor="text1"/>
          <w:sz w:val="20"/>
          <w:lang w:val="en-GB"/>
        </w:rPr>
        <w:br w:type="page"/>
      </w:r>
    </w:p>
    <w:p w14:paraId="1247E266" w14:textId="620BAB0D" w:rsidR="00646CAA" w:rsidRPr="00352DE3" w:rsidRDefault="00646CAA" w:rsidP="00646CAA">
      <w:pPr>
        <w:jc w:val="both"/>
        <w:rPr>
          <w:rFonts w:ascii="Arial" w:hAnsi="Arial"/>
          <w:b/>
          <w:i/>
          <w:color w:val="000000" w:themeColor="text1"/>
          <w:sz w:val="20"/>
          <w:lang w:val="en-GB"/>
        </w:rPr>
      </w:pPr>
      <w:r w:rsidRPr="00352DE3">
        <w:rPr>
          <w:rFonts w:ascii="Arial" w:hAnsi="Arial"/>
          <w:b/>
          <w:i/>
          <w:color w:val="000000" w:themeColor="text1"/>
          <w:sz w:val="20"/>
          <w:lang w:val="en-GB"/>
        </w:rPr>
        <w:lastRenderedPageBreak/>
        <w:t>Disclaimer</w:t>
      </w:r>
    </w:p>
    <w:p w14:paraId="6AC52D88" w14:textId="77777777" w:rsidR="00646CAA" w:rsidRPr="00352DE3" w:rsidRDefault="00646CAA" w:rsidP="00646CAA">
      <w:pPr>
        <w:jc w:val="both"/>
        <w:rPr>
          <w:rFonts w:ascii="Arial" w:hAnsi="Arial"/>
          <w:i/>
          <w:color w:val="000000" w:themeColor="text1"/>
          <w:sz w:val="20"/>
          <w:lang w:val="en-GB"/>
        </w:rPr>
      </w:pPr>
      <w:r w:rsidRPr="00352DE3">
        <w:rPr>
          <w:rFonts w:ascii="Arial" w:hAnsi="Arial"/>
          <w:i/>
          <w:color w:val="000000" w:themeColor="text1"/>
          <w:sz w:val="20"/>
          <w:lang w:val="en-GB"/>
        </w:rPr>
        <w:t>This document has been prepared by International Finance Corporation for information purposes only.</w:t>
      </w:r>
    </w:p>
    <w:p w14:paraId="44D74A3D" w14:textId="1D748919" w:rsidR="00646CAA" w:rsidRPr="00BC2B20" w:rsidRDefault="00646CAA" w:rsidP="00352DE3">
      <w:pPr>
        <w:jc w:val="both"/>
        <w:rPr>
          <w:rFonts w:ascii="Arial" w:hAnsi="Arial"/>
          <w:i/>
          <w:color w:val="000000" w:themeColor="text1"/>
          <w:sz w:val="20"/>
          <w:lang w:val="en-GB"/>
        </w:rPr>
      </w:pPr>
      <w:r w:rsidRPr="00352DE3">
        <w:rPr>
          <w:rFonts w:ascii="Arial" w:hAnsi="Arial"/>
          <w:i/>
          <w:color w:val="000000" w:themeColor="text1"/>
          <w:sz w:val="20"/>
          <w:lang w:val="en-GB"/>
        </w:rPr>
        <w:t>This document does not constitute or form part of and should not be construed as, an offer to sell or issue or the solicitation of an offer to buy or acquire securities in any jurisdiction or an inducement to enter into investment activity. This document is an indicative summary of the terms and conditions of the transaction described herein and may be amended, superseded or replaced by subsequent summaries. No part of this document, nor the fact of its distribution, should form the basis of, or be relied on in connection with, any contract or commitment or investment decision whatsoever. The final terms and conditions of the transaction and any related security will be set out in full in the applicable offering document(s), final terms or binding transaction document(s). This document shall not constitute an underwriting commitment, an offer of financing, an offer to sell, or the solicitation of an offer to buy any securities described herein.</w:t>
      </w:r>
    </w:p>
    <w:sectPr w:rsidR="00646CAA" w:rsidRPr="00BC2B20">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29581" w14:textId="77777777" w:rsidR="002A4299" w:rsidRDefault="002A4299" w:rsidP="008A6D64">
      <w:pPr>
        <w:spacing w:after="0" w:line="240" w:lineRule="auto"/>
      </w:pPr>
      <w:r>
        <w:separator/>
      </w:r>
    </w:p>
  </w:endnote>
  <w:endnote w:type="continuationSeparator" w:id="0">
    <w:p w14:paraId="47564A38" w14:textId="77777777" w:rsidR="002A4299" w:rsidRDefault="002A4299" w:rsidP="008A6D64">
      <w:pPr>
        <w:spacing w:after="0" w:line="240" w:lineRule="auto"/>
      </w:pPr>
      <w:r>
        <w:continuationSeparator/>
      </w:r>
    </w:p>
  </w:endnote>
  <w:endnote w:type="continuationNotice" w:id="1">
    <w:p w14:paraId="06DFF70F" w14:textId="77777777" w:rsidR="002A4299" w:rsidRDefault="002A42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achovia Celeste">
    <w:altName w:val="Times New Roman"/>
    <w:charset w:val="00"/>
    <w:family w:val="roman"/>
    <w:pitch w:val="variable"/>
    <w:sig w:usb0="00000000" w:usb1="00000040" w:usb2="00000000" w:usb3="00000000" w:csb0="000000BF" w:csb1="00000000"/>
  </w:font>
  <w:font w:name="Yu Mincho">
    <w:altName w:val="游明朝"/>
    <w:charset w:val="80"/>
    <w:family w:val="roman"/>
    <w:pitch w:val="variable"/>
    <w:sig w:usb0="800002E7" w:usb1="2AC7FCFF" w:usb2="00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lls Fargo Sans">
    <w:altName w:val="Cambria"/>
    <w:charset w:val="00"/>
    <w:family w:val="swiss"/>
    <w:pitch w:val="variable"/>
    <w:sig w:usb0="A000006F" w:usb1="4000004B" w:usb2="00000000" w:usb3="00000000" w:csb0="00000013"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027FC" w14:textId="6AFE27A5" w:rsidR="00DE7EC0" w:rsidRDefault="00DE7EC0">
    <w:pPr>
      <w:pStyle w:val="Footer"/>
    </w:pPr>
    <w:r>
      <w:rPr>
        <w:noProof/>
      </w:rPr>
      <mc:AlternateContent>
        <mc:Choice Requires="wps">
          <w:drawing>
            <wp:anchor distT="0" distB="0" distL="0" distR="0" simplePos="0" relativeHeight="251660289" behindDoc="0" locked="0" layoutInCell="1" allowOverlap="1" wp14:anchorId="3343D5C9" wp14:editId="3A8FB8B4">
              <wp:simplePos x="635" y="635"/>
              <wp:positionH relativeFrom="page">
                <wp:align>right</wp:align>
              </wp:positionH>
              <wp:positionV relativeFrom="page">
                <wp:align>bottom</wp:align>
              </wp:positionV>
              <wp:extent cx="1172210" cy="357505"/>
              <wp:effectExtent l="0" t="0" r="0" b="0"/>
              <wp:wrapNone/>
              <wp:docPr id="909570105"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57505"/>
                      </a:xfrm>
                      <a:prstGeom prst="rect">
                        <a:avLst/>
                      </a:prstGeom>
                      <a:noFill/>
                      <a:ln>
                        <a:noFill/>
                      </a:ln>
                    </wps:spPr>
                    <wps:txbx>
                      <w:txbxContent>
                        <w:p w14:paraId="3375378A" w14:textId="32E06EAB" w:rsidR="00DE7EC0" w:rsidRPr="00DE7EC0" w:rsidRDefault="00DE7EC0" w:rsidP="00DE7EC0">
                          <w:pPr>
                            <w:spacing w:after="0"/>
                            <w:rPr>
                              <w:rFonts w:ascii="Aptos" w:eastAsia="Aptos" w:hAnsi="Aptos" w:cs="Aptos"/>
                              <w:noProof/>
                              <w:color w:val="000000"/>
                              <w:sz w:val="20"/>
                              <w:szCs w:val="20"/>
                            </w:rPr>
                          </w:pPr>
                          <w:r w:rsidRPr="00DE7EC0">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343D5C9" id="_x0000_t202" coordsize="21600,21600" o:spt="202" path="m,l,21600r21600,l21600,xe">
              <v:stroke joinstyle="miter"/>
              <v:path gradientshapeok="t" o:connecttype="rect"/>
            </v:shapetype>
            <v:shape id="Text Box 2" o:spid="_x0000_s1026" type="#_x0000_t202" alt="Official Use Only" style="position:absolute;margin-left:41.1pt;margin-top:0;width:92.3pt;height:28.15pt;z-index:251660289;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" filled="f" stroked="f">
              <v:fill o:detectmouseclick="t"/>
              <v:textbox style="mso-fit-shape-to-text:t" inset="0,0,20pt,15pt">
                <w:txbxContent>
                  <w:p w14:paraId="3375378A" w14:textId="32E06EAB" w:rsidR="00DE7EC0" w:rsidRPr="00DE7EC0" w:rsidRDefault="00DE7EC0" w:rsidP="00DE7EC0">
                    <w:pPr>
                      <w:spacing w:after="0"/>
                      <w:rPr>
                        <w:rFonts w:ascii="Aptos" w:eastAsia="Aptos" w:hAnsi="Aptos" w:cs="Aptos"/>
                        <w:noProof/>
                        <w:color w:val="000000"/>
                        <w:sz w:val="20"/>
                        <w:szCs w:val="20"/>
                      </w:rPr>
                    </w:pPr>
                    <w:r w:rsidRPr="00DE7EC0">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8D6F0" w14:textId="2FB03DBF" w:rsidR="00D739CB" w:rsidRDefault="00D739CB">
    <w:pPr>
      <w:pStyle w:val="Footer"/>
      <w:jc w:val="center"/>
    </w:pPr>
    <w:r>
      <w:rPr>
        <w:noProof/>
      </w:rPr>
      <mc:AlternateContent>
        <mc:Choice Requires="wps">
          <w:drawing>
            <wp:anchor distT="0" distB="0" distL="114300" distR="114300" simplePos="0" relativeHeight="251658240" behindDoc="0" locked="0" layoutInCell="0" allowOverlap="1" wp14:anchorId="63F90186" wp14:editId="173D842F">
              <wp:simplePos x="0" y="0"/>
              <wp:positionH relativeFrom="page">
                <wp:posOffset>0</wp:posOffset>
              </wp:positionH>
              <wp:positionV relativeFrom="page">
                <wp:posOffset>9594215</wp:posOffset>
              </wp:positionV>
              <wp:extent cx="7772400" cy="273050"/>
              <wp:effectExtent l="0" t="0" r="0" b="12700"/>
              <wp:wrapNone/>
              <wp:docPr id="2" name="Text Box 2" descr="{&quot;HashCode&quot;:199071216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BDF292" w14:textId="2DA7EA91" w:rsidR="00D739CB" w:rsidRPr="00D739CB" w:rsidRDefault="00D739CB" w:rsidP="00D739CB">
                          <w:pPr>
                            <w:spacing w:after="0"/>
                            <w:jc w:val="right"/>
                            <w:rPr>
                              <w:rFonts w:ascii="Calibri" w:hAnsi="Calibri" w:cs="Calibri"/>
                              <w:color w:val="000000"/>
                              <w:sz w:val="24"/>
                            </w:rPr>
                          </w:pPr>
                          <w:r w:rsidRPr="00D739CB">
                            <w:rPr>
                              <w:rFonts w:ascii="Calibri" w:hAnsi="Calibri" w:cs="Calibri"/>
                              <w:color w:val="000000"/>
                              <w:sz w:val="24"/>
                            </w:rPr>
                            <w:t>Official Use</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3F90186" id="_x0000_t202" coordsize="21600,21600" o:spt="202" path="m,l,21600r21600,l21600,xe">
              <v:stroke joinstyle="miter"/>
              <v:path gradientshapeok="t" o:connecttype="rect"/>
            </v:shapetype>
            <v:shape id="_x0000_s1027" type="#_x0000_t202" alt="{&quot;HashCode&quot;:1990712160,&quot;Height&quot;:792.0,&quot;Width&quot;:612.0,&quot;Placement&quot;:&quot;Footer&quot;,&quot;Index&quot;:&quot;Primary&quot;,&quot;Section&quot;:1,&quot;Top&quot;:0.0,&quot;Left&quot;:0.0}" style="position:absolute;left:0;text-align:left;margin-left:0;margin-top:755.45pt;width:612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" o:allowincell="f" filled="f" stroked="f" strokeweight=".5pt">
              <v:textbox inset=",0,20pt,0">
                <w:txbxContent>
                  <w:p w14:paraId="6DBDF292" w14:textId="2DA7EA91" w:rsidR="00D739CB" w:rsidRPr="00D739CB" w:rsidRDefault="00D739CB" w:rsidP="00D739CB">
                    <w:pPr>
                      <w:spacing w:after="0"/>
                      <w:jc w:val="right"/>
                      <w:rPr>
                        <w:rFonts w:ascii="Calibri" w:hAnsi="Calibri" w:cs="Calibri"/>
                        <w:color w:val="000000"/>
                        <w:sz w:val="24"/>
                      </w:rPr>
                    </w:pPr>
                    <w:r w:rsidRPr="00D739CB">
                      <w:rPr>
                        <w:rFonts w:ascii="Calibri" w:hAnsi="Calibri" w:cs="Calibri"/>
                        <w:color w:val="000000"/>
                        <w:sz w:val="24"/>
                      </w:rPr>
                      <w:t>Official Use</w:t>
                    </w:r>
                  </w:p>
                </w:txbxContent>
              </v:textbox>
              <w10:wrap anchorx="page" anchory="page"/>
            </v:shape>
          </w:pict>
        </mc:Fallback>
      </mc:AlternateContent>
    </w:r>
    <w:sdt>
      <w:sdtPr>
        <w:id w:val="8581947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EA2AD2A" w14:textId="7B1ACA8A" w:rsidR="00567F4B" w:rsidRPr="00C80ED0" w:rsidRDefault="00567F4B" w:rsidP="003B58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E708F" w14:textId="322A1DDD" w:rsidR="00DE7EC0" w:rsidRDefault="00DE7EC0">
    <w:pPr>
      <w:pStyle w:val="Footer"/>
    </w:pPr>
    <w:r>
      <w:rPr>
        <w:noProof/>
      </w:rPr>
      <mc:AlternateContent>
        <mc:Choice Requires="wps">
          <w:drawing>
            <wp:anchor distT="0" distB="0" distL="0" distR="0" simplePos="0" relativeHeight="251659265" behindDoc="0" locked="0" layoutInCell="1" allowOverlap="1" wp14:anchorId="14C879A2" wp14:editId="73AF2C9F">
              <wp:simplePos x="635" y="635"/>
              <wp:positionH relativeFrom="page">
                <wp:align>right</wp:align>
              </wp:positionH>
              <wp:positionV relativeFrom="page">
                <wp:align>bottom</wp:align>
              </wp:positionV>
              <wp:extent cx="1172210" cy="357505"/>
              <wp:effectExtent l="0" t="0" r="0" b="0"/>
              <wp:wrapNone/>
              <wp:docPr id="903787391"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57505"/>
                      </a:xfrm>
                      <a:prstGeom prst="rect">
                        <a:avLst/>
                      </a:prstGeom>
                      <a:noFill/>
                      <a:ln>
                        <a:noFill/>
                      </a:ln>
                    </wps:spPr>
                    <wps:txbx>
                      <w:txbxContent>
                        <w:p w14:paraId="06896CF4" w14:textId="612578EC" w:rsidR="00DE7EC0" w:rsidRPr="00DE7EC0" w:rsidRDefault="00DE7EC0" w:rsidP="00DE7EC0">
                          <w:pPr>
                            <w:spacing w:after="0"/>
                            <w:rPr>
                              <w:rFonts w:ascii="Aptos" w:eastAsia="Aptos" w:hAnsi="Aptos" w:cs="Aptos"/>
                              <w:noProof/>
                              <w:color w:val="000000"/>
                              <w:sz w:val="20"/>
                              <w:szCs w:val="20"/>
                            </w:rPr>
                          </w:pPr>
                          <w:r w:rsidRPr="00DE7EC0">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4C879A2" id="_x0000_t202" coordsize="21600,21600" o:spt="202" path="m,l,21600r21600,l21600,xe">
              <v:stroke joinstyle="miter"/>
              <v:path gradientshapeok="t" o:connecttype="rect"/>
            </v:shapetype>
            <v:shape id="Text Box 1" o:spid="_x0000_s1028" type="#_x0000_t202" alt="Official Use Only" style="position:absolute;margin-left:41.1pt;margin-top:0;width:92.3pt;height:28.15pt;z-index:25165926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" filled="f" stroked="f">
              <v:fill o:detectmouseclick="t"/>
              <v:textbox style="mso-fit-shape-to-text:t" inset="0,0,20pt,15pt">
                <w:txbxContent>
                  <w:p w14:paraId="06896CF4" w14:textId="612578EC" w:rsidR="00DE7EC0" w:rsidRPr="00DE7EC0" w:rsidRDefault="00DE7EC0" w:rsidP="00DE7EC0">
                    <w:pPr>
                      <w:spacing w:after="0"/>
                      <w:rPr>
                        <w:rFonts w:ascii="Aptos" w:eastAsia="Aptos" w:hAnsi="Aptos" w:cs="Aptos"/>
                        <w:noProof/>
                        <w:color w:val="000000"/>
                        <w:sz w:val="20"/>
                        <w:szCs w:val="20"/>
                      </w:rPr>
                    </w:pPr>
                    <w:r w:rsidRPr="00DE7EC0">
                      <w:rPr>
                        <w:rFonts w:ascii="Aptos" w:eastAsia="Aptos" w:hAnsi="Aptos" w:cs="Aptos"/>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C319E" w14:textId="77777777" w:rsidR="002A4299" w:rsidRDefault="002A4299" w:rsidP="008A6D64">
      <w:pPr>
        <w:spacing w:after="0" w:line="240" w:lineRule="auto"/>
      </w:pPr>
      <w:r>
        <w:separator/>
      </w:r>
    </w:p>
  </w:footnote>
  <w:footnote w:type="continuationSeparator" w:id="0">
    <w:p w14:paraId="52A744E6" w14:textId="77777777" w:rsidR="002A4299" w:rsidRDefault="002A4299" w:rsidP="008A6D64">
      <w:pPr>
        <w:spacing w:after="0" w:line="240" w:lineRule="auto"/>
      </w:pPr>
      <w:r>
        <w:continuationSeparator/>
      </w:r>
    </w:p>
  </w:footnote>
  <w:footnote w:type="continuationNotice" w:id="1">
    <w:p w14:paraId="1E793546" w14:textId="77777777" w:rsidR="002A4299" w:rsidRDefault="002A4299">
      <w:pPr>
        <w:spacing w:after="0" w:line="240" w:lineRule="auto"/>
      </w:pPr>
    </w:p>
  </w:footnote>
  <w:footnote w:id="2">
    <w:p w14:paraId="03FBC234" w14:textId="445C62CA" w:rsidR="00986504" w:rsidRDefault="00986504">
      <w:pPr>
        <w:pStyle w:val="FootnoteText"/>
        <w:rPr>
          <w:rFonts w:ascii="Arial" w:eastAsia="Times New Roman" w:hAnsi="Arial" w:cs="Arial"/>
          <w:sz w:val="18"/>
          <w:szCs w:val="18"/>
        </w:rPr>
      </w:pPr>
      <w:r w:rsidRPr="004E24E7">
        <w:rPr>
          <w:rStyle w:val="FootnoteReference"/>
          <w:rFonts w:ascii="Arial" w:hAnsi="Arial" w:cs="Arial"/>
          <w:sz w:val="18"/>
          <w:szCs w:val="18"/>
        </w:rPr>
        <w:footnoteRef/>
      </w:r>
      <w:r w:rsidRPr="004E24E7">
        <w:rPr>
          <w:rFonts w:ascii="Arial" w:hAnsi="Arial" w:cs="Arial"/>
          <w:sz w:val="18"/>
          <w:szCs w:val="18"/>
        </w:rPr>
        <w:t xml:space="preserve"> </w:t>
      </w:r>
      <w:r w:rsidRPr="004E24E7">
        <w:rPr>
          <w:rFonts w:ascii="Arial" w:eastAsia="Times New Roman" w:hAnsi="Arial" w:cs="Arial"/>
          <w:b/>
          <w:bCs/>
          <w:sz w:val="18"/>
          <w:szCs w:val="18"/>
        </w:rPr>
        <w:t>To dealer</w:t>
      </w:r>
      <w:bookmarkStart w:id="0" w:name="_Hlk160543043"/>
      <w:r w:rsidRPr="004B0426">
        <w:rPr>
          <w:rFonts w:ascii="Arial" w:eastAsia="Times New Roman" w:hAnsi="Arial" w:cs="Arial"/>
          <w:sz w:val="18"/>
          <w:szCs w:val="18"/>
        </w:rPr>
        <w:t>:</w:t>
      </w:r>
      <w:r w:rsidRPr="00487FCD">
        <w:rPr>
          <w:rFonts w:ascii="Arial" w:eastAsia="Times New Roman" w:hAnsi="Arial" w:cs="Arial"/>
          <w:sz w:val="18"/>
          <w:szCs w:val="18"/>
        </w:rPr>
        <w:t xml:space="preserve"> </w:t>
      </w:r>
      <w:r w:rsidRPr="004E24E7">
        <w:rPr>
          <w:rFonts w:ascii="Arial" w:eastAsia="Times New Roman" w:hAnsi="Arial" w:cs="Arial"/>
          <w:sz w:val="18"/>
          <w:szCs w:val="18"/>
        </w:rPr>
        <w:t xml:space="preserve">Please check that </w:t>
      </w:r>
      <w:r>
        <w:rPr>
          <w:rFonts w:ascii="Arial" w:eastAsia="Times New Roman" w:hAnsi="Arial" w:cs="Arial"/>
          <w:sz w:val="18"/>
          <w:szCs w:val="18"/>
        </w:rPr>
        <w:t>the I</w:t>
      </w:r>
      <w:r w:rsidRPr="004E24E7">
        <w:rPr>
          <w:rFonts w:ascii="Arial" w:eastAsia="Times New Roman" w:hAnsi="Arial" w:cs="Arial"/>
          <w:sz w:val="18"/>
          <w:szCs w:val="18"/>
        </w:rPr>
        <w:t xml:space="preserve">ssue </w:t>
      </w:r>
      <w:r>
        <w:rPr>
          <w:rFonts w:ascii="Arial" w:eastAsia="Times New Roman" w:hAnsi="Arial" w:cs="Arial"/>
          <w:sz w:val="18"/>
          <w:szCs w:val="18"/>
        </w:rPr>
        <w:t>D</w:t>
      </w:r>
      <w:r w:rsidRPr="004E24E7">
        <w:rPr>
          <w:rFonts w:ascii="Arial" w:eastAsia="Times New Roman" w:hAnsi="Arial" w:cs="Arial"/>
          <w:sz w:val="18"/>
          <w:szCs w:val="18"/>
        </w:rPr>
        <w:t>ate of a trade fall</w:t>
      </w:r>
      <w:r>
        <w:rPr>
          <w:rFonts w:ascii="Arial" w:eastAsia="Times New Roman" w:hAnsi="Arial" w:cs="Arial"/>
          <w:sz w:val="18"/>
          <w:szCs w:val="18"/>
        </w:rPr>
        <w:t>s</w:t>
      </w:r>
      <w:r w:rsidRPr="004E24E7">
        <w:rPr>
          <w:rFonts w:ascii="Arial" w:eastAsia="Times New Roman" w:hAnsi="Arial" w:cs="Arial"/>
          <w:sz w:val="18"/>
          <w:szCs w:val="18"/>
        </w:rPr>
        <w:t xml:space="preserve"> on </w:t>
      </w:r>
      <w:r>
        <w:rPr>
          <w:rFonts w:ascii="Arial" w:eastAsia="Times New Roman" w:hAnsi="Arial" w:cs="Arial"/>
          <w:sz w:val="18"/>
          <w:szCs w:val="18"/>
        </w:rPr>
        <w:t xml:space="preserve">a </w:t>
      </w:r>
      <w:r w:rsidRPr="004E24E7">
        <w:rPr>
          <w:rFonts w:ascii="Arial" w:eastAsia="Times New Roman" w:hAnsi="Arial" w:cs="Arial"/>
          <w:sz w:val="18"/>
          <w:szCs w:val="18"/>
        </w:rPr>
        <w:t xml:space="preserve">good </w:t>
      </w:r>
      <w:r>
        <w:rPr>
          <w:rFonts w:ascii="Arial" w:eastAsia="Times New Roman" w:hAnsi="Arial" w:cs="Arial"/>
          <w:sz w:val="18"/>
          <w:szCs w:val="18"/>
        </w:rPr>
        <w:t>B</w:t>
      </w:r>
      <w:r w:rsidRPr="004E24E7">
        <w:rPr>
          <w:rFonts w:ascii="Arial" w:eastAsia="Times New Roman" w:hAnsi="Arial" w:cs="Arial"/>
          <w:sz w:val="18"/>
          <w:szCs w:val="18"/>
        </w:rPr>
        <w:t xml:space="preserve">usiness </w:t>
      </w:r>
      <w:r>
        <w:rPr>
          <w:rFonts w:ascii="Arial" w:eastAsia="Times New Roman" w:hAnsi="Arial" w:cs="Arial"/>
          <w:sz w:val="18"/>
          <w:szCs w:val="18"/>
        </w:rPr>
        <w:t>D</w:t>
      </w:r>
      <w:r w:rsidRPr="004E24E7">
        <w:rPr>
          <w:rFonts w:ascii="Arial" w:eastAsia="Times New Roman" w:hAnsi="Arial" w:cs="Arial"/>
          <w:sz w:val="18"/>
          <w:szCs w:val="18"/>
        </w:rPr>
        <w:t>ay</w:t>
      </w:r>
      <w:bookmarkEnd w:id="0"/>
      <w:r w:rsidRPr="004E24E7">
        <w:rPr>
          <w:rFonts w:ascii="Arial" w:eastAsia="Times New Roman" w:hAnsi="Arial" w:cs="Arial"/>
          <w:sz w:val="18"/>
          <w:szCs w:val="18"/>
        </w:rPr>
        <w:t>.</w:t>
      </w:r>
    </w:p>
    <w:p w14:paraId="4AD0EBC1" w14:textId="77777777" w:rsidR="00986504" w:rsidRPr="004E24E7" w:rsidRDefault="00986504">
      <w:pPr>
        <w:pStyle w:val="FootnoteText"/>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E399" w14:textId="77777777" w:rsidR="00DE7EC0" w:rsidRDefault="00DE7E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E7D19" w14:textId="7B03E499" w:rsidR="00567F4B" w:rsidRDefault="00567F4B" w:rsidP="00352DE3">
    <w:pPr>
      <w:pStyle w:val="Header"/>
      <w:jc w:val="center"/>
    </w:pPr>
    <w:r>
      <w:rPr>
        <w:noProof/>
      </w:rPr>
      <w:drawing>
        <wp:inline distT="0" distB="0" distL="0" distR="0" wp14:anchorId="2063F71F" wp14:editId="5F65C7ED">
          <wp:extent cx="2540677" cy="745588"/>
          <wp:effectExtent l="0" t="0" r="0" b="0"/>
          <wp:docPr id="1700618018" name="Picture 1700618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4701" cy="749704"/>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0AF42" w14:textId="77777777" w:rsidR="00DE7EC0" w:rsidRDefault="00DE7E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2594"/>
    <w:multiLevelType w:val="hybridMultilevel"/>
    <w:tmpl w:val="C80850E0"/>
    <w:lvl w:ilvl="0" w:tplc="0409001B">
      <w:start w:val="1"/>
      <w:numFmt w:val="lowerRoman"/>
      <w:lvlText w:val="%1."/>
      <w:lvlJc w:val="righ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15:restartNumberingAfterBreak="0">
    <w:nsid w:val="04486523"/>
    <w:multiLevelType w:val="hybridMultilevel"/>
    <w:tmpl w:val="2ADEE362"/>
    <w:lvl w:ilvl="0" w:tplc="6B94AB0A">
      <w:start w:val="1"/>
      <w:numFmt w:val="upperRoman"/>
      <w:lvlText w:val="%1."/>
      <w:lvlJc w:val="left"/>
      <w:pPr>
        <w:ind w:left="1080" w:hanging="72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307B8"/>
    <w:multiLevelType w:val="hybridMultilevel"/>
    <w:tmpl w:val="F73EBD2E"/>
    <w:lvl w:ilvl="0" w:tplc="56D6AE2A">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77C71"/>
    <w:multiLevelType w:val="hybridMultilevel"/>
    <w:tmpl w:val="E6165594"/>
    <w:lvl w:ilvl="0" w:tplc="840087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674D9"/>
    <w:multiLevelType w:val="hybridMultilevel"/>
    <w:tmpl w:val="A1689CEE"/>
    <w:lvl w:ilvl="0" w:tplc="703872C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E392DC2"/>
    <w:multiLevelType w:val="hybridMultilevel"/>
    <w:tmpl w:val="D8B2E14C"/>
    <w:lvl w:ilvl="0" w:tplc="2E1416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07775F"/>
    <w:multiLevelType w:val="hybridMultilevel"/>
    <w:tmpl w:val="6BC84C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DF057E"/>
    <w:multiLevelType w:val="hybridMultilevel"/>
    <w:tmpl w:val="16787CE6"/>
    <w:lvl w:ilvl="0" w:tplc="2E52524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597B5B"/>
    <w:multiLevelType w:val="hybridMultilevel"/>
    <w:tmpl w:val="21540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864776"/>
    <w:multiLevelType w:val="hybridMultilevel"/>
    <w:tmpl w:val="2A56A668"/>
    <w:lvl w:ilvl="0" w:tplc="641AD4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100919"/>
    <w:multiLevelType w:val="hybridMultilevel"/>
    <w:tmpl w:val="6B6203FE"/>
    <w:lvl w:ilvl="0" w:tplc="D884E47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055CA2"/>
    <w:multiLevelType w:val="hybridMultilevel"/>
    <w:tmpl w:val="7D06D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E111FA"/>
    <w:multiLevelType w:val="hybridMultilevel"/>
    <w:tmpl w:val="C062FDE2"/>
    <w:lvl w:ilvl="0" w:tplc="77C423E8">
      <w:start w:val="1"/>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2F41EA"/>
    <w:multiLevelType w:val="hybridMultilevel"/>
    <w:tmpl w:val="84CACDA2"/>
    <w:lvl w:ilvl="0" w:tplc="573CF1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B2677D"/>
    <w:multiLevelType w:val="hybridMultilevel"/>
    <w:tmpl w:val="4080E442"/>
    <w:lvl w:ilvl="0" w:tplc="4FEA2D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8665FE"/>
    <w:multiLevelType w:val="hybridMultilevel"/>
    <w:tmpl w:val="0CDA69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9F66EA2"/>
    <w:multiLevelType w:val="hybridMultilevel"/>
    <w:tmpl w:val="4028A11E"/>
    <w:lvl w:ilvl="0" w:tplc="1CC888D2">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2B1D19"/>
    <w:multiLevelType w:val="hybridMultilevel"/>
    <w:tmpl w:val="2C84351E"/>
    <w:lvl w:ilvl="0" w:tplc="5E5411E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4E7A9C"/>
    <w:multiLevelType w:val="hybridMultilevel"/>
    <w:tmpl w:val="D2B04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0C50D2"/>
    <w:multiLevelType w:val="hybridMultilevel"/>
    <w:tmpl w:val="E62A6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65374F"/>
    <w:multiLevelType w:val="hybridMultilevel"/>
    <w:tmpl w:val="9CB43B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6305B41"/>
    <w:multiLevelType w:val="hybridMultilevel"/>
    <w:tmpl w:val="F5BCCD16"/>
    <w:lvl w:ilvl="0" w:tplc="39468C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6835E2"/>
    <w:multiLevelType w:val="hybridMultilevel"/>
    <w:tmpl w:val="65F6F538"/>
    <w:lvl w:ilvl="0" w:tplc="F4064AC2">
      <w:start w:val="2"/>
      <w:numFmt w:val="bullet"/>
      <w:lvlText w:val=""/>
      <w:lvlJc w:val="left"/>
      <w:pPr>
        <w:ind w:left="720" w:hanging="360"/>
      </w:pPr>
      <w:rPr>
        <w:rFonts w:ascii="Symbol" w:eastAsiaTheme="minorHAnsi" w:hAnsi="Symbol" w:cstheme="minorBidi"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2272DF"/>
    <w:multiLevelType w:val="hybridMultilevel"/>
    <w:tmpl w:val="4F4C8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2161BE"/>
    <w:multiLevelType w:val="hybridMultilevel"/>
    <w:tmpl w:val="14BCD570"/>
    <w:lvl w:ilvl="0" w:tplc="7008475C">
      <w:numFmt w:val="bullet"/>
      <w:lvlText w:val=""/>
      <w:lvlJc w:val="left"/>
      <w:pPr>
        <w:ind w:left="720" w:hanging="360"/>
      </w:pPr>
      <w:rPr>
        <w:rFonts w:ascii="Symbol" w:eastAsiaTheme="minorHAnsi" w:hAnsi="Symbol"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1581148">
    <w:abstractNumId w:val="24"/>
  </w:num>
  <w:num w:numId="2" w16cid:durableId="1471023412">
    <w:abstractNumId w:val="18"/>
  </w:num>
  <w:num w:numId="3" w16cid:durableId="340011467">
    <w:abstractNumId w:val="19"/>
  </w:num>
  <w:num w:numId="4" w16cid:durableId="983580889">
    <w:abstractNumId w:val="10"/>
  </w:num>
  <w:num w:numId="5" w16cid:durableId="1725523720">
    <w:abstractNumId w:val="1"/>
  </w:num>
  <w:num w:numId="6" w16cid:durableId="824779322">
    <w:abstractNumId w:val="4"/>
  </w:num>
  <w:num w:numId="7" w16cid:durableId="495345136">
    <w:abstractNumId w:val="12"/>
  </w:num>
  <w:num w:numId="8" w16cid:durableId="31658571">
    <w:abstractNumId w:val="3"/>
  </w:num>
  <w:num w:numId="9" w16cid:durableId="1777677480">
    <w:abstractNumId w:val="7"/>
  </w:num>
  <w:num w:numId="10" w16cid:durableId="1013260577">
    <w:abstractNumId w:val="11"/>
  </w:num>
  <w:num w:numId="11" w16cid:durableId="2008089073">
    <w:abstractNumId w:val="6"/>
  </w:num>
  <w:num w:numId="12" w16cid:durableId="427166856">
    <w:abstractNumId w:val="0"/>
  </w:num>
  <w:num w:numId="13" w16cid:durableId="393158901">
    <w:abstractNumId w:val="9"/>
  </w:num>
  <w:num w:numId="14" w16cid:durableId="1832911767">
    <w:abstractNumId w:val="13"/>
  </w:num>
  <w:num w:numId="15" w16cid:durableId="2139300689">
    <w:abstractNumId w:val="15"/>
  </w:num>
  <w:num w:numId="16" w16cid:durableId="1431122548">
    <w:abstractNumId w:val="5"/>
  </w:num>
  <w:num w:numId="17" w16cid:durableId="2390995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0075856">
    <w:abstractNumId w:val="2"/>
  </w:num>
  <w:num w:numId="19" w16cid:durableId="1351646389">
    <w:abstractNumId w:val="17"/>
  </w:num>
  <w:num w:numId="20" w16cid:durableId="266353809">
    <w:abstractNumId w:val="22"/>
  </w:num>
  <w:num w:numId="21" w16cid:durableId="1182936038">
    <w:abstractNumId w:val="8"/>
  </w:num>
  <w:num w:numId="22" w16cid:durableId="1751268928">
    <w:abstractNumId w:val="16"/>
  </w:num>
  <w:num w:numId="23" w16cid:durableId="1889804681">
    <w:abstractNumId w:val="14"/>
  </w:num>
  <w:num w:numId="24" w16cid:durableId="982540420">
    <w:abstractNumId w:val="21"/>
  </w:num>
  <w:num w:numId="25" w16cid:durableId="16372493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D64"/>
    <w:rsid w:val="00000A3D"/>
    <w:rsid w:val="00002F3C"/>
    <w:rsid w:val="00004D6F"/>
    <w:rsid w:val="00004F01"/>
    <w:rsid w:val="00006D4E"/>
    <w:rsid w:val="00007B02"/>
    <w:rsid w:val="0001136B"/>
    <w:rsid w:val="00012857"/>
    <w:rsid w:val="000128CF"/>
    <w:rsid w:val="00012CDE"/>
    <w:rsid w:val="0001318D"/>
    <w:rsid w:val="00013B41"/>
    <w:rsid w:val="00015E50"/>
    <w:rsid w:val="00016DD8"/>
    <w:rsid w:val="00016DDA"/>
    <w:rsid w:val="000175E3"/>
    <w:rsid w:val="00022019"/>
    <w:rsid w:val="0002270F"/>
    <w:rsid w:val="00022C3F"/>
    <w:rsid w:val="00023F1B"/>
    <w:rsid w:val="0002526C"/>
    <w:rsid w:val="00025CCB"/>
    <w:rsid w:val="00025E0D"/>
    <w:rsid w:val="00026AF5"/>
    <w:rsid w:val="00026CF2"/>
    <w:rsid w:val="00026D3F"/>
    <w:rsid w:val="0002725B"/>
    <w:rsid w:val="00031019"/>
    <w:rsid w:val="0003154B"/>
    <w:rsid w:val="00032E19"/>
    <w:rsid w:val="000332B7"/>
    <w:rsid w:val="00034873"/>
    <w:rsid w:val="0003487F"/>
    <w:rsid w:val="0003565F"/>
    <w:rsid w:val="00036F3A"/>
    <w:rsid w:val="0003760A"/>
    <w:rsid w:val="00037CDD"/>
    <w:rsid w:val="00037D43"/>
    <w:rsid w:val="00040A37"/>
    <w:rsid w:val="00040AB9"/>
    <w:rsid w:val="00043CDF"/>
    <w:rsid w:val="00044B06"/>
    <w:rsid w:val="00044C52"/>
    <w:rsid w:val="00045B48"/>
    <w:rsid w:val="00047685"/>
    <w:rsid w:val="000517EE"/>
    <w:rsid w:val="000522A1"/>
    <w:rsid w:val="00053BC5"/>
    <w:rsid w:val="00054BD6"/>
    <w:rsid w:val="00054E6F"/>
    <w:rsid w:val="000564A3"/>
    <w:rsid w:val="00057922"/>
    <w:rsid w:val="00061C13"/>
    <w:rsid w:val="00064E30"/>
    <w:rsid w:val="0006557A"/>
    <w:rsid w:val="000664EF"/>
    <w:rsid w:val="00067517"/>
    <w:rsid w:val="000676F0"/>
    <w:rsid w:val="00070FB3"/>
    <w:rsid w:val="0007164F"/>
    <w:rsid w:val="00073294"/>
    <w:rsid w:val="000738B7"/>
    <w:rsid w:val="000747C0"/>
    <w:rsid w:val="00075051"/>
    <w:rsid w:val="0007569D"/>
    <w:rsid w:val="0007594C"/>
    <w:rsid w:val="0007694A"/>
    <w:rsid w:val="000769E3"/>
    <w:rsid w:val="000837B8"/>
    <w:rsid w:val="00084223"/>
    <w:rsid w:val="00086524"/>
    <w:rsid w:val="00090408"/>
    <w:rsid w:val="00090EBE"/>
    <w:rsid w:val="00090F50"/>
    <w:rsid w:val="00091CCB"/>
    <w:rsid w:val="00092305"/>
    <w:rsid w:val="00093982"/>
    <w:rsid w:val="00095E2D"/>
    <w:rsid w:val="0009665B"/>
    <w:rsid w:val="00097084"/>
    <w:rsid w:val="000972FA"/>
    <w:rsid w:val="000A0F51"/>
    <w:rsid w:val="000A1123"/>
    <w:rsid w:val="000A1BA1"/>
    <w:rsid w:val="000A25D4"/>
    <w:rsid w:val="000A7BC7"/>
    <w:rsid w:val="000B193B"/>
    <w:rsid w:val="000C0FEB"/>
    <w:rsid w:val="000C1A63"/>
    <w:rsid w:val="000C1AF4"/>
    <w:rsid w:val="000C22E8"/>
    <w:rsid w:val="000C269C"/>
    <w:rsid w:val="000C30D0"/>
    <w:rsid w:val="000C4B68"/>
    <w:rsid w:val="000C5F82"/>
    <w:rsid w:val="000C6A07"/>
    <w:rsid w:val="000C6CC2"/>
    <w:rsid w:val="000D12CC"/>
    <w:rsid w:val="000D18FC"/>
    <w:rsid w:val="000D20D9"/>
    <w:rsid w:val="000D2CDC"/>
    <w:rsid w:val="000D32EE"/>
    <w:rsid w:val="000D3457"/>
    <w:rsid w:val="000D4065"/>
    <w:rsid w:val="000D4D0E"/>
    <w:rsid w:val="000D6854"/>
    <w:rsid w:val="000D71DD"/>
    <w:rsid w:val="000E1DC8"/>
    <w:rsid w:val="000E1FE9"/>
    <w:rsid w:val="000E456B"/>
    <w:rsid w:val="000E582E"/>
    <w:rsid w:val="000E7DC9"/>
    <w:rsid w:val="000E7E4F"/>
    <w:rsid w:val="000F1197"/>
    <w:rsid w:val="000F15CF"/>
    <w:rsid w:val="000F1AD2"/>
    <w:rsid w:val="000F2A90"/>
    <w:rsid w:val="000F4096"/>
    <w:rsid w:val="000F5D50"/>
    <w:rsid w:val="000F6013"/>
    <w:rsid w:val="000F664A"/>
    <w:rsid w:val="000F69D9"/>
    <w:rsid w:val="000F7E0F"/>
    <w:rsid w:val="00102CCD"/>
    <w:rsid w:val="00103149"/>
    <w:rsid w:val="00103508"/>
    <w:rsid w:val="0010467F"/>
    <w:rsid w:val="001064F3"/>
    <w:rsid w:val="00111118"/>
    <w:rsid w:val="001114D7"/>
    <w:rsid w:val="0011221B"/>
    <w:rsid w:val="00112FEC"/>
    <w:rsid w:val="00114377"/>
    <w:rsid w:val="0011543A"/>
    <w:rsid w:val="00117B93"/>
    <w:rsid w:val="00117D46"/>
    <w:rsid w:val="0012036C"/>
    <w:rsid w:val="001211A3"/>
    <w:rsid w:val="0012418D"/>
    <w:rsid w:val="00125FF0"/>
    <w:rsid w:val="00130416"/>
    <w:rsid w:val="0013083E"/>
    <w:rsid w:val="001310A4"/>
    <w:rsid w:val="00131D4C"/>
    <w:rsid w:val="00134350"/>
    <w:rsid w:val="00134A30"/>
    <w:rsid w:val="00134D28"/>
    <w:rsid w:val="00134D3F"/>
    <w:rsid w:val="0013559B"/>
    <w:rsid w:val="00141E91"/>
    <w:rsid w:val="00141EDF"/>
    <w:rsid w:val="00145437"/>
    <w:rsid w:val="0014557F"/>
    <w:rsid w:val="00145953"/>
    <w:rsid w:val="00145ED8"/>
    <w:rsid w:val="00150444"/>
    <w:rsid w:val="001516D4"/>
    <w:rsid w:val="0015242E"/>
    <w:rsid w:val="001527DC"/>
    <w:rsid w:val="001542F6"/>
    <w:rsid w:val="001546F3"/>
    <w:rsid w:val="00154F5A"/>
    <w:rsid w:val="00157CF3"/>
    <w:rsid w:val="00160FD0"/>
    <w:rsid w:val="00161DA0"/>
    <w:rsid w:val="001633EC"/>
    <w:rsid w:val="00163A68"/>
    <w:rsid w:val="00163B28"/>
    <w:rsid w:val="001643C0"/>
    <w:rsid w:val="0016466A"/>
    <w:rsid w:val="00164779"/>
    <w:rsid w:val="00165310"/>
    <w:rsid w:val="0016577D"/>
    <w:rsid w:val="0016601F"/>
    <w:rsid w:val="0016694D"/>
    <w:rsid w:val="001669B6"/>
    <w:rsid w:val="00167797"/>
    <w:rsid w:val="0017015D"/>
    <w:rsid w:val="0017231D"/>
    <w:rsid w:val="0017383A"/>
    <w:rsid w:val="0017527F"/>
    <w:rsid w:val="001756A3"/>
    <w:rsid w:val="0017651A"/>
    <w:rsid w:val="00177258"/>
    <w:rsid w:val="00182EDA"/>
    <w:rsid w:val="00183259"/>
    <w:rsid w:val="00193BC1"/>
    <w:rsid w:val="00194125"/>
    <w:rsid w:val="001945DE"/>
    <w:rsid w:val="001974A8"/>
    <w:rsid w:val="00197950"/>
    <w:rsid w:val="001A11DC"/>
    <w:rsid w:val="001A1C5C"/>
    <w:rsid w:val="001A358F"/>
    <w:rsid w:val="001A4F65"/>
    <w:rsid w:val="001A5599"/>
    <w:rsid w:val="001A7395"/>
    <w:rsid w:val="001A7B26"/>
    <w:rsid w:val="001B065E"/>
    <w:rsid w:val="001B06DB"/>
    <w:rsid w:val="001B1C77"/>
    <w:rsid w:val="001B2A54"/>
    <w:rsid w:val="001B2C68"/>
    <w:rsid w:val="001B6CA4"/>
    <w:rsid w:val="001B740C"/>
    <w:rsid w:val="001C04F7"/>
    <w:rsid w:val="001C0B4F"/>
    <w:rsid w:val="001C16BA"/>
    <w:rsid w:val="001C1726"/>
    <w:rsid w:val="001C2A99"/>
    <w:rsid w:val="001C30EA"/>
    <w:rsid w:val="001C3161"/>
    <w:rsid w:val="001C3DF9"/>
    <w:rsid w:val="001C461E"/>
    <w:rsid w:val="001C50F8"/>
    <w:rsid w:val="001C60A0"/>
    <w:rsid w:val="001C6FD8"/>
    <w:rsid w:val="001C7878"/>
    <w:rsid w:val="001D24C0"/>
    <w:rsid w:val="001D3DEC"/>
    <w:rsid w:val="001D562F"/>
    <w:rsid w:val="001D580C"/>
    <w:rsid w:val="001D5954"/>
    <w:rsid w:val="001D6025"/>
    <w:rsid w:val="001D7278"/>
    <w:rsid w:val="001E3AC5"/>
    <w:rsid w:val="001E6A11"/>
    <w:rsid w:val="001F00F6"/>
    <w:rsid w:val="001F06BE"/>
    <w:rsid w:val="001F3643"/>
    <w:rsid w:val="001F4695"/>
    <w:rsid w:val="001F4CDC"/>
    <w:rsid w:val="001F7970"/>
    <w:rsid w:val="0020050A"/>
    <w:rsid w:val="0020071D"/>
    <w:rsid w:val="00200BBD"/>
    <w:rsid w:val="002018B8"/>
    <w:rsid w:val="002019F3"/>
    <w:rsid w:val="0020503D"/>
    <w:rsid w:val="00210C11"/>
    <w:rsid w:val="00210D0C"/>
    <w:rsid w:val="00212164"/>
    <w:rsid w:val="00214AA0"/>
    <w:rsid w:val="0021529D"/>
    <w:rsid w:val="002156DA"/>
    <w:rsid w:val="0021696F"/>
    <w:rsid w:val="002171C0"/>
    <w:rsid w:val="0021749B"/>
    <w:rsid w:val="00220712"/>
    <w:rsid w:val="0022169F"/>
    <w:rsid w:val="00222089"/>
    <w:rsid w:val="00222860"/>
    <w:rsid w:val="00222BC4"/>
    <w:rsid w:val="00223958"/>
    <w:rsid w:val="0022409A"/>
    <w:rsid w:val="00224D77"/>
    <w:rsid w:val="002258C2"/>
    <w:rsid w:val="002271A1"/>
    <w:rsid w:val="00227FF4"/>
    <w:rsid w:val="0023060E"/>
    <w:rsid w:val="00230B4B"/>
    <w:rsid w:val="00232031"/>
    <w:rsid w:val="00232399"/>
    <w:rsid w:val="00234B8A"/>
    <w:rsid w:val="00235916"/>
    <w:rsid w:val="00236C49"/>
    <w:rsid w:val="00240DF9"/>
    <w:rsid w:val="00241DDE"/>
    <w:rsid w:val="00242033"/>
    <w:rsid w:val="00242557"/>
    <w:rsid w:val="00244D77"/>
    <w:rsid w:val="00246689"/>
    <w:rsid w:val="00246AAF"/>
    <w:rsid w:val="00246B34"/>
    <w:rsid w:val="00247833"/>
    <w:rsid w:val="00250BEE"/>
    <w:rsid w:val="0025122E"/>
    <w:rsid w:val="00251B03"/>
    <w:rsid w:val="002529CC"/>
    <w:rsid w:val="00253E79"/>
    <w:rsid w:val="0025481A"/>
    <w:rsid w:val="00256C8C"/>
    <w:rsid w:val="0026136F"/>
    <w:rsid w:val="002614DF"/>
    <w:rsid w:val="00261716"/>
    <w:rsid w:val="00261D08"/>
    <w:rsid w:val="00261F8B"/>
    <w:rsid w:val="00263D98"/>
    <w:rsid w:val="0026466A"/>
    <w:rsid w:val="002648C6"/>
    <w:rsid w:val="00264A93"/>
    <w:rsid w:val="0026752A"/>
    <w:rsid w:val="0027079E"/>
    <w:rsid w:val="002707B2"/>
    <w:rsid w:val="002738D8"/>
    <w:rsid w:val="00281969"/>
    <w:rsid w:val="00281B51"/>
    <w:rsid w:val="00281BD1"/>
    <w:rsid w:val="00282CDE"/>
    <w:rsid w:val="00282F34"/>
    <w:rsid w:val="00285470"/>
    <w:rsid w:val="00285BA5"/>
    <w:rsid w:val="002878B0"/>
    <w:rsid w:val="0028795C"/>
    <w:rsid w:val="00290699"/>
    <w:rsid w:val="00290860"/>
    <w:rsid w:val="00290F87"/>
    <w:rsid w:val="00292E89"/>
    <w:rsid w:val="002961A8"/>
    <w:rsid w:val="00297983"/>
    <w:rsid w:val="002A1046"/>
    <w:rsid w:val="002A15B6"/>
    <w:rsid w:val="002A1F8D"/>
    <w:rsid w:val="002A20AF"/>
    <w:rsid w:val="002A4299"/>
    <w:rsid w:val="002A5613"/>
    <w:rsid w:val="002A72FC"/>
    <w:rsid w:val="002B281A"/>
    <w:rsid w:val="002B299B"/>
    <w:rsid w:val="002B541E"/>
    <w:rsid w:val="002B58E5"/>
    <w:rsid w:val="002B631A"/>
    <w:rsid w:val="002B6460"/>
    <w:rsid w:val="002B6BBD"/>
    <w:rsid w:val="002C093F"/>
    <w:rsid w:val="002C6424"/>
    <w:rsid w:val="002D220D"/>
    <w:rsid w:val="002D2F06"/>
    <w:rsid w:val="002D44AC"/>
    <w:rsid w:val="002D455A"/>
    <w:rsid w:val="002D5D69"/>
    <w:rsid w:val="002D631B"/>
    <w:rsid w:val="002D6923"/>
    <w:rsid w:val="002D6E30"/>
    <w:rsid w:val="002E0EF4"/>
    <w:rsid w:val="002E13ED"/>
    <w:rsid w:val="002E1D99"/>
    <w:rsid w:val="002E1E00"/>
    <w:rsid w:val="002E2C11"/>
    <w:rsid w:val="002E347D"/>
    <w:rsid w:val="002E3F83"/>
    <w:rsid w:val="002E6034"/>
    <w:rsid w:val="002E6AE2"/>
    <w:rsid w:val="002F0503"/>
    <w:rsid w:val="002F073D"/>
    <w:rsid w:val="002F2C06"/>
    <w:rsid w:val="002F3217"/>
    <w:rsid w:val="002F3F56"/>
    <w:rsid w:val="002F4775"/>
    <w:rsid w:val="002F4DE2"/>
    <w:rsid w:val="00300E6E"/>
    <w:rsid w:val="00301D5E"/>
    <w:rsid w:val="00301E91"/>
    <w:rsid w:val="00302D5B"/>
    <w:rsid w:val="003032B4"/>
    <w:rsid w:val="00304E70"/>
    <w:rsid w:val="00304EF5"/>
    <w:rsid w:val="00306BEF"/>
    <w:rsid w:val="00306EEE"/>
    <w:rsid w:val="00310033"/>
    <w:rsid w:val="0031009F"/>
    <w:rsid w:val="0031576C"/>
    <w:rsid w:val="00321046"/>
    <w:rsid w:val="0032141B"/>
    <w:rsid w:val="00322344"/>
    <w:rsid w:val="003228DB"/>
    <w:rsid w:val="0032385B"/>
    <w:rsid w:val="00323B3C"/>
    <w:rsid w:val="00324884"/>
    <w:rsid w:val="00325E24"/>
    <w:rsid w:val="003266E5"/>
    <w:rsid w:val="003269FD"/>
    <w:rsid w:val="00326AEB"/>
    <w:rsid w:val="00326DAF"/>
    <w:rsid w:val="00330B34"/>
    <w:rsid w:val="00330F1F"/>
    <w:rsid w:val="00332206"/>
    <w:rsid w:val="00332D0E"/>
    <w:rsid w:val="003360D4"/>
    <w:rsid w:val="00336E17"/>
    <w:rsid w:val="00340CF3"/>
    <w:rsid w:val="00341411"/>
    <w:rsid w:val="00342354"/>
    <w:rsid w:val="00342D9A"/>
    <w:rsid w:val="00346786"/>
    <w:rsid w:val="00346798"/>
    <w:rsid w:val="003469BD"/>
    <w:rsid w:val="00351E57"/>
    <w:rsid w:val="00352DE3"/>
    <w:rsid w:val="00353096"/>
    <w:rsid w:val="003532AB"/>
    <w:rsid w:val="00354675"/>
    <w:rsid w:val="00354B49"/>
    <w:rsid w:val="00355598"/>
    <w:rsid w:val="00357008"/>
    <w:rsid w:val="003578F4"/>
    <w:rsid w:val="00360F5B"/>
    <w:rsid w:val="00361727"/>
    <w:rsid w:val="003657CE"/>
    <w:rsid w:val="00366554"/>
    <w:rsid w:val="00370B85"/>
    <w:rsid w:val="003716A5"/>
    <w:rsid w:val="00371C83"/>
    <w:rsid w:val="00373859"/>
    <w:rsid w:val="003738BA"/>
    <w:rsid w:val="00373972"/>
    <w:rsid w:val="00373A98"/>
    <w:rsid w:val="003800D7"/>
    <w:rsid w:val="00380128"/>
    <w:rsid w:val="003814EB"/>
    <w:rsid w:val="0038356A"/>
    <w:rsid w:val="003854F3"/>
    <w:rsid w:val="00385C68"/>
    <w:rsid w:val="00387B94"/>
    <w:rsid w:val="00387C1E"/>
    <w:rsid w:val="00390118"/>
    <w:rsid w:val="00393256"/>
    <w:rsid w:val="00393461"/>
    <w:rsid w:val="00395A65"/>
    <w:rsid w:val="00395BAB"/>
    <w:rsid w:val="00396193"/>
    <w:rsid w:val="00396B7A"/>
    <w:rsid w:val="003A16B7"/>
    <w:rsid w:val="003A1DB1"/>
    <w:rsid w:val="003A2ABB"/>
    <w:rsid w:val="003A2F1E"/>
    <w:rsid w:val="003A3039"/>
    <w:rsid w:val="003A3575"/>
    <w:rsid w:val="003A427E"/>
    <w:rsid w:val="003A4AFC"/>
    <w:rsid w:val="003A52E3"/>
    <w:rsid w:val="003A5411"/>
    <w:rsid w:val="003A73B2"/>
    <w:rsid w:val="003B0368"/>
    <w:rsid w:val="003B187C"/>
    <w:rsid w:val="003B2E7F"/>
    <w:rsid w:val="003B344A"/>
    <w:rsid w:val="003B3543"/>
    <w:rsid w:val="003B58A7"/>
    <w:rsid w:val="003B73A0"/>
    <w:rsid w:val="003B766C"/>
    <w:rsid w:val="003C111A"/>
    <w:rsid w:val="003C1BB8"/>
    <w:rsid w:val="003C34BF"/>
    <w:rsid w:val="003C5179"/>
    <w:rsid w:val="003C7375"/>
    <w:rsid w:val="003D0A26"/>
    <w:rsid w:val="003D0CD4"/>
    <w:rsid w:val="003D0F13"/>
    <w:rsid w:val="003D2B18"/>
    <w:rsid w:val="003D30AF"/>
    <w:rsid w:val="003D3594"/>
    <w:rsid w:val="003D3D21"/>
    <w:rsid w:val="003D44B0"/>
    <w:rsid w:val="003D5D8B"/>
    <w:rsid w:val="003D68B8"/>
    <w:rsid w:val="003D691F"/>
    <w:rsid w:val="003E0315"/>
    <w:rsid w:val="003E186E"/>
    <w:rsid w:val="003E1CB3"/>
    <w:rsid w:val="003E2208"/>
    <w:rsid w:val="003E2B0B"/>
    <w:rsid w:val="003E3FBF"/>
    <w:rsid w:val="003E4047"/>
    <w:rsid w:val="003E6023"/>
    <w:rsid w:val="003E6354"/>
    <w:rsid w:val="003E68A5"/>
    <w:rsid w:val="003F388D"/>
    <w:rsid w:val="003F4A0C"/>
    <w:rsid w:val="003F4F28"/>
    <w:rsid w:val="003F535C"/>
    <w:rsid w:val="003F6031"/>
    <w:rsid w:val="003F6CEB"/>
    <w:rsid w:val="00401BE2"/>
    <w:rsid w:val="00403037"/>
    <w:rsid w:val="00404100"/>
    <w:rsid w:val="00404E65"/>
    <w:rsid w:val="00405DDE"/>
    <w:rsid w:val="004061A9"/>
    <w:rsid w:val="004062B7"/>
    <w:rsid w:val="004065E5"/>
    <w:rsid w:val="00406CC9"/>
    <w:rsid w:val="004073B1"/>
    <w:rsid w:val="00410B8D"/>
    <w:rsid w:val="004114B8"/>
    <w:rsid w:val="00412821"/>
    <w:rsid w:val="00413BBB"/>
    <w:rsid w:val="00413FC1"/>
    <w:rsid w:val="00414276"/>
    <w:rsid w:val="0041464E"/>
    <w:rsid w:val="004147A0"/>
    <w:rsid w:val="00415D4F"/>
    <w:rsid w:val="0042144F"/>
    <w:rsid w:val="004232EB"/>
    <w:rsid w:val="0042333F"/>
    <w:rsid w:val="00426C3F"/>
    <w:rsid w:val="00427AE4"/>
    <w:rsid w:val="00430211"/>
    <w:rsid w:val="004304C8"/>
    <w:rsid w:val="00431085"/>
    <w:rsid w:val="004320DF"/>
    <w:rsid w:val="0043273A"/>
    <w:rsid w:val="00433781"/>
    <w:rsid w:val="004340C1"/>
    <w:rsid w:val="004340C6"/>
    <w:rsid w:val="0043484D"/>
    <w:rsid w:val="00434AB8"/>
    <w:rsid w:val="0043553E"/>
    <w:rsid w:val="004365B0"/>
    <w:rsid w:val="00437E66"/>
    <w:rsid w:val="00440B94"/>
    <w:rsid w:val="0044118C"/>
    <w:rsid w:val="00441A75"/>
    <w:rsid w:val="0044333C"/>
    <w:rsid w:val="00443866"/>
    <w:rsid w:val="0044485B"/>
    <w:rsid w:val="004460EF"/>
    <w:rsid w:val="0044773A"/>
    <w:rsid w:val="0044788B"/>
    <w:rsid w:val="0045017F"/>
    <w:rsid w:val="0045103F"/>
    <w:rsid w:val="004518DC"/>
    <w:rsid w:val="00451A11"/>
    <w:rsid w:val="00452596"/>
    <w:rsid w:val="00453F1B"/>
    <w:rsid w:val="004570DF"/>
    <w:rsid w:val="004601A0"/>
    <w:rsid w:val="00461F19"/>
    <w:rsid w:val="00463B1D"/>
    <w:rsid w:val="004645B8"/>
    <w:rsid w:val="00464C78"/>
    <w:rsid w:val="0046582F"/>
    <w:rsid w:val="00467054"/>
    <w:rsid w:val="00467CDF"/>
    <w:rsid w:val="0047066C"/>
    <w:rsid w:val="00471413"/>
    <w:rsid w:val="0047273F"/>
    <w:rsid w:val="0047295D"/>
    <w:rsid w:val="00473B6D"/>
    <w:rsid w:val="00473BDD"/>
    <w:rsid w:val="00473C11"/>
    <w:rsid w:val="004801F6"/>
    <w:rsid w:val="00480819"/>
    <w:rsid w:val="00483210"/>
    <w:rsid w:val="00483996"/>
    <w:rsid w:val="00484704"/>
    <w:rsid w:val="00485B51"/>
    <w:rsid w:val="0048631D"/>
    <w:rsid w:val="0048721D"/>
    <w:rsid w:val="00487C28"/>
    <w:rsid w:val="004920DE"/>
    <w:rsid w:val="00493E86"/>
    <w:rsid w:val="004958BF"/>
    <w:rsid w:val="004959D0"/>
    <w:rsid w:val="00495C59"/>
    <w:rsid w:val="0049673D"/>
    <w:rsid w:val="0049704B"/>
    <w:rsid w:val="004A16B1"/>
    <w:rsid w:val="004A1EC3"/>
    <w:rsid w:val="004A40BC"/>
    <w:rsid w:val="004A4521"/>
    <w:rsid w:val="004A6396"/>
    <w:rsid w:val="004B2A5C"/>
    <w:rsid w:val="004B33E6"/>
    <w:rsid w:val="004B39EE"/>
    <w:rsid w:val="004B5090"/>
    <w:rsid w:val="004C1D84"/>
    <w:rsid w:val="004C4359"/>
    <w:rsid w:val="004C4E33"/>
    <w:rsid w:val="004C5215"/>
    <w:rsid w:val="004D0483"/>
    <w:rsid w:val="004D17C8"/>
    <w:rsid w:val="004D17DC"/>
    <w:rsid w:val="004D2194"/>
    <w:rsid w:val="004D266B"/>
    <w:rsid w:val="004D578D"/>
    <w:rsid w:val="004D582C"/>
    <w:rsid w:val="004D6F26"/>
    <w:rsid w:val="004D7182"/>
    <w:rsid w:val="004D7990"/>
    <w:rsid w:val="004E0BC0"/>
    <w:rsid w:val="004E14C0"/>
    <w:rsid w:val="004E1E03"/>
    <w:rsid w:val="004E24E7"/>
    <w:rsid w:val="004E26FB"/>
    <w:rsid w:val="004E3BB9"/>
    <w:rsid w:val="004E3DA9"/>
    <w:rsid w:val="004E47BC"/>
    <w:rsid w:val="004E4FB5"/>
    <w:rsid w:val="004E637E"/>
    <w:rsid w:val="004F0544"/>
    <w:rsid w:val="004F0DC9"/>
    <w:rsid w:val="004F2509"/>
    <w:rsid w:val="004F265B"/>
    <w:rsid w:val="004F4443"/>
    <w:rsid w:val="004F48A5"/>
    <w:rsid w:val="004F4FD4"/>
    <w:rsid w:val="004F5C2B"/>
    <w:rsid w:val="005007E6"/>
    <w:rsid w:val="00502361"/>
    <w:rsid w:val="00502F16"/>
    <w:rsid w:val="00505180"/>
    <w:rsid w:val="0050619B"/>
    <w:rsid w:val="00506632"/>
    <w:rsid w:val="00506B57"/>
    <w:rsid w:val="00512151"/>
    <w:rsid w:val="00513391"/>
    <w:rsid w:val="00513FFC"/>
    <w:rsid w:val="00514A2E"/>
    <w:rsid w:val="00514B9A"/>
    <w:rsid w:val="00515A52"/>
    <w:rsid w:val="005174DB"/>
    <w:rsid w:val="00520F72"/>
    <w:rsid w:val="00521784"/>
    <w:rsid w:val="00522C6E"/>
    <w:rsid w:val="00522F82"/>
    <w:rsid w:val="005238A0"/>
    <w:rsid w:val="00524A08"/>
    <w:rsid w:val="005255EF"/>
    <w:rsid w:val="00526A6B"/>
    <w:rsid w:val="00530A1D"/>
    <w:rsid w:val="00534AC1"/>
    <w:rsid w:val="00534FAE"/>
    <w:rsid w:val="005369FE"/>
    <w:rsid w:val="005376AD"/>
    <w:rsid w:val="00537E25"/>
    <w:rsid w:val="0054005C"/>
    <w:rsid w:val="00540427"/>
    <w:rsid w:val="00540B5C"/>
    <w:rsid w:val="00541C6B"/>
    <w:rsid w:val="00542964"/>
    <w:rsid w:val="00546360"/>
    <w:rsid w:val="005466A8"/>
    <w:rsid w:val="005471B0"/>
    <w:rsid w:val="00547EEF"/>
    <w:rsid w:val="00550106"/>
    <w:rsid w:val="005509C1"/>
    <w:rsid w:val="0055252D"/>
    <w:rsid w:val="00552A4E"/>
    <w:rsid w:val="00552EB2"/>
    <w:rsid w:val="0055333E"/>
    <w:rsid w:val="00553548"/>
    <w:rsid w:val="00555910"/>
    <w:rsid w:val="005563DE"/>
    <w:rsid w:val="005571E8"/>
    <w:rsid w:val="00557734"/>
    <w:rsid w:val="00560601"/>
    <w:rsid w:val="0056195B"/>
    <w:rsid w:val="00562F63"/>
    <w:rsid w:val="00563C1F"/>
    <w:rsid w:val="00564E0B"/>
    <w:rsid w:val="005666D1"/>
    <w:rsid w:val="00567F4B"/>
    <w:rsid w:val="0057021B"/>
    <w:rsid w:val="00570832"/>
    <w:rsid w:val="005716C1"/>
    <w:rsid w:val="005735FD"/>
    <w:rsid w:val="0057366A"/>
    <w:rsid w:val="0057503B"/>
    <w:rsid w:val="00575072"/>
    <w:rsid w:val="00575399"/>
    <w:rsid w:val="00577AEB"/>
    <w:rsid w:val="00580A53"/>
    <w:rsid w:val="00582278"/>
    <w:rsid w:val="00583D6F"/>
    <w:rsid w:val="00585845"/>
    <w:rsid w:val="00587352"/>
    <w:rsid w:val="0059264D"/>
    <w:rsid w:val="005926F1"/>
    <w:rsid w:val="00592A6A"/>
    <w:rsid w:val="00592B3A"/>
    <w:rsid w:val="00596F2B"/>
    <w:rsid w:val="005974F1"/>
    <w:rsid w:val="005A13C2"/>
    <w:rsid w:val="005A228F"/>
    <w:rsid w:val="005A3A35"/>
    <w:rsid w:val="005A56F1"/>
    <w:rsid w:val="005A58E5"/>
    <w:rsid w:val="005B0058"/>
    <w:rsid w:val="005B09CC"/>
    <w:rsid w:val="005B0A6D"/>
    <w:rsid w:val="005B109C"/>
    <w:rsid w:val="005B34A3"/>
    <w:rsid w:val="005B3AF3"/>
    <w:rsid w:val="005B50F3"/>
    <w:rsid w:val="005B540E"/>
    <w:rsid w:val="005B59CA"/>
    <w:rsid w:val="005B6F93"/>
    <w:rsid w:val="005B78CA"/>
    <w:rsid w:val="005C01B5"/>
    <w:rsid w:val="005C1E54"/>
    <w:rsid w:val="005C48BF"/>
    <w:rsid w:val="005C526D"/>
    <w:rsid w:val="005C65E6"/>
    <w:rsid w:val="005C6B1B"/>
    <w:rsid w:val="005C75B7"/>
    <w:rsid w:val="005D18D6"/>
    <w:rsid w:val="005D1B4B"/>
    <w:rsid w:val="005D24E4"/>
    <w:rsid w:val="005D3F47"/>
    <w:rsid w:val="005D58AB"/>
    <w:rsid w:val="005D6909"/>
    <w:rsid w:val="005D6E96"/>
    <w:rsid w:val="005D7552"/>
    <w:rsid w:val="005E0227"/>
    <w:rsid w:val="005E04E4"/>
    <w:rsid w:val="005E230A"/>
    <w:rsid w:val="005E28D0"/>
    <w:rsid w:val="005E4375"/>
    <w:rsid w:val="005E6334"/>
    <w:rsid w:val="005F001E"/>
    <w:rsid w:val="005F10D6"/>
    <w:rsid w:val="005F1612"/>
    <w:rsid w:val="005F236E"/>
    <w:rsid w:val="005F2422"/>
    <w:rsid w:val="005F457D"/>
    <w:rsid w:val="005F4769"/>
    <w:rsid w:val="006011F6"/>
    <w:rsid w:val="00601C69"/>
    <w:rsid w:val="006020DA"/>
    <w:rsid w:val="006021FE"/>
    <w:rsid w:val="00603AB5"/>
    <w:rsid w:val="006040F1"/>
    <w:rsid w:val="00604D3A"/>
    <w:rsid w:val="006074DD"/>
    <w:rsid w:val="0060750F"/>
    <w:rsid w:val="00610633"/>
    <w:rsid w:val="00610E1B"/>
    <w:rsid w:val="006110D9"/>
    <w:rsid w:val="0061193F"/>
    <w:rsid w:val="00611D77"/>
    <w:rsid w:val="00612971"/>
    <w:rsid w:val="00613202"/>
    <w:rsid w:val="006137E4"/>
    <w:rsid w:val="00614E43"/>
    <w:rsid w:val="00616DCC"/>
    <w:rsid w:val="006206CC"/>
    <w:rsid w:val="006222D9"/>
    <w:rsid w:val="00623D85"/>
    <w:rsid w:val="00623DD0"/>
    <w:rsid w:val="00623F51"/>
    <w:rsid w:val="00624C86"/>
    <w:rsid w:val="006251C8"/>
    <w:rsid w:val="006267E3"/>
    <w:rsid w:val="0062695E"/>
    <w:rsid w:val="0063184C"/>
    <w:rsid w:val="00631E77"/>
    <w:rsid w:val="00632061"/>
    <w:rsid w:val="006325BA"/>
    <w:rsid w:val="00633225"/>
    <w:rsid w:val="00633A34"/>
    <w:rsid w:val="00633DF6"/>
    <w:rsid w:val="00633F2D"/>
    <w:rsid w:val="00641D0C"/>
    <w:rsid w:val="006421D0"/>
    <w:rsid w:val="00642BFF"/>
    <w:rsid w:val="00642FDD"/>
    <w:rsid w:val="00643A13"/>
    <w:rsid w:val="00644D1C"/>
    <w:rsid w:val="006466DC"/>
    <w:rsid w:val="00646CAA"/>
    <w:rsid w:val="00647B88"/>
    <w:rsid w:val="00650822"/>
    <w:rsid w:val="0065146A"/>
    <w:rsid w:val="0065323B"/>
    <w:rsid w:val="00654AF6"/>
    <w:rsid w:val="006554FA"/>
    <w:rsid w:val="00655E9D"/>
    <w:rsid w:val="00656C0F"/>
    <w:rsid w:val="00656DF6"/>
    <w:rsid w:val="00657CB5"/>
    <w:rsid w:val="00657DAD"/>
    <w:rsid w:val="00660236"/>
    <w:rsid w:val="00662ABB"/>
    <w:rsid w:val="00663A69"/>
    <w:rsid w:val="00663FA0"/>
    <w:rsid w:val="0066510D"/>
    <w:rsid w:val="0066556F"/>
    <w:rsid w:val="00666662"/>
    <w:rsid w:val="00667F06"/>
    <w:rsid w:val="00670765"/>
    <w:rsid w:val="006708FF"/>
    <w:rsid w:val="00671A2F"/>
    <w:rsid w:val="00671DA0"/>
    <w:rsid w:val="006729CD"/>
    <w:rsid w:val="00672EBB"/>
    <w:rsid w:val="006732F5"/>
    <w:rsid w:val="0067339D"/>
    <w:rsid w:val="00674BB2"/>
    <w:rsid w:val="00681A6A"/>
    <w:rsid w:val="00683AF5"/>
    <w:rsid w:val="00683EB2"/>
    <w:rsid w:val="00686385"/>
    <w:rsid w:val="00686BD4"/>
    <w:rsid w:val="0068772A"/>
    <w:rsid w:val="00687C54"/>
    <w:rsid w:val="0069058B"/>
    <w:rsid w:val="0069224C"/>
    <w:rsid w:val="0069375B"/>
    <w:rsid w:val="006939DD"/>
    <w:rsid w:val="00694E6A"/>
    <w:rsid w:val="0069613B"/>
    <w:rsid w:val="00696E16"/>
    <w:rsid w:val="00696FA3"/>
    <w:rsid w:val="00697C2B"/>
    <w:rsid w:val="006A04B3"/>
    <w:rsid w:val="006A2D8E"/>
    <w:rsid w:val="006A328E"/>
    <w:rsid w:val="006A512F"/>
    <w:rsid w:val="006B1DB9"/>
    <w:rsid w:val="006B2AC8"/>
    <w:rsid w:val="006B4A94"/>
    <w:rsid w:val="006B53E9"/>
    <w:rsid w:val="006B55BA"/>
    <w:rsid w:val="006B5F1B"/>
    <w:rsid w:val="006B71E0"/>
    <w:rsid w:val="006C1233"/>
    <w:rsid w:val="006C1A5F"/>
    <w:rsid w:val="006C3F32"/>
    <w:rsid w:val="006C4990"/>
    <w:rsid w:val="006C5AB6"/>
    <w:rsid w:val="006D13A3"/>
    <w:rsid w:val="006D1D90"/>
    <w:rsid w:val="006D2123"/>
    <w:rsid w:val="006D236A"/>
    <w:rsid w:val="006D41C4"/>
    <w:rsid w:val="006D5156"/>
    <w:rsid w:val="006D5877"/>
    <w:rsid w:val="006D5B23"/>
    <w:rsid w:val="006D7A93"/>
    <w:rsid w:val="006E0798"/>
    <w:rsid w:val="006E08B1"/>
    <w:rsid w:val="006E0F81"/>
    <w:rsid w:val="006E3F92"/>
    <w:rsid w:val="006E437D"/>
    <w:rsid w:val="006E5172"/>
    <w:rsid w:val="006E53C5"/>
    <w:rsid w:val="006E660B"/>
    <w:rsid w:val="006E7607"/>
    <w:rsid w:val="006F1D8B"/>
    <w:rsid w:val="006F1DE5"/>
    <w:rsid w:val="006F27D3"/>
    <w:rsid w:val="006F2E20"/>
    <w:rsid w:val="006F3069"/>
    <w:rsid w:val="006F531E"/>
    <w:rsid w:val="006F654D"/>
    <w:rsid w:val="007011DC"/>
    <w:rsid w:val="00701A13"/>
    <w:rsid w:val="00701B47"/>
    <w:rsid w:val="00702558"/>
    <w:rsid w:val="00704956"/>
    <w:rsid w:val="00706533"/>
    <w:rsid w:val="00710474"/>
    <w:rsid w:val="00712564"/>
    <w:rsid w:val="00712819"/>
    <w:rsid w:val="00713636"/>
    <w:rsid w:val="00713FE2"/>
    <w:rsid w:val="00715120"/>
    <w:rsid w:val="00715639"/>
    <w:rsid w:val="00715FDB"/>
    <w:rsid w:val="0071653F"/>
    <w:rsid w:val="007169DF"/>
    <w:rsid w:val="00720059"/>
    <w:rsid w:val="0072268E"/>
    <w:rsid w:val="00723030"/>
    <w:rsid w:val="00724074"/>
    <w:rsid w:val="00724413"/>
    <w:rsid w:val="007250A5"/>
    <w:rsid w:val="007265F5"/>
    <w:rsid w:val="00726C0B"/>
    <w:rsid w:val="00731D91"/>
    <w:rsid w:val="00732BB3"/>
    <w:rsid w:val="007354EF"/>
    <w:rsid w:val="0073576A"/>
    <w:rsid w:val="00735A5E"/>
    <w:rsid w:val="00737F99"/>
    <w:rsid w:val="007404D9"/>
    <w:rsid w:val="007416DC"/>
    <w:rsid w:val="0074236B"/>
    <w:rsid w:val="007432D4"/>
    <w:rsid w:val="00743A30"/>
    <w:rsid w:val="00744ACF"/>
    <w:rsid w:val="00744F78"/>
    <w:rsid w:val="00744F82"/>
    <w:rsid w:val="00752D2E"/>
    <w:rsid w:val="007538B8"/>
    <w:rsid w:val="00754883"/>
    <w:rsid w:val="00754B0B"/>
    <w:rsid w:val="00754F11"/>
    <w:rsid w:val="00756056"/>
    <w:rsid w:val="00756206"/>
    <w:rsid w:val="00760772"/>
    <w:rsid w:val="00760C46"/>
    <w:rsid w:val="00762D53"/>
    <w:rsid w:val="00762F53"/>
    <w:rsid w:val="007638A0"/>
    <w:rsid w:val="007641A5"/>
    <w:rsid w:val="00764AFA"/>
    <w:rsid w:val="00765D7E"/>
    <w:rsid w:val="00765FE7"/>
    <w:rsid w:val="007664D7"/>
    <w:rsid w:val="007665FC"/>
    <w:rsid w:val="00766D75"/>
    <w:rsid w:val="0076738E"/>
    <w:rsid w:val="0076793C"/>
    <w:rsid w:val="00767F64"/>
    <w:rsid w:val="00770164"/>
    <w:rsid w:val="00770851"/>
    <w:rsid w:val="007729BD"/>
    <w:rsid w:val="00776583"/>
    <w:rsid w:val="00776B9B"/>
    <w:rsid w:val="007804A6"/>
    <w:rsid w:val="00780C18"/>
    <w:rsid w:val="00780C5E"/>
    <w:rsid w:val="00782102"/>
    <w:rsid w:val="00782EEF"/>
    <w:rsid w:val="00783C05"/>
    <w:rsid w:val="00784746"/>
    <w:rsid w:val="00785BCB"/>
    <w:rsid w:val="00785F7F"/>
    <w:rsid w:val="00786C95"/>
    <w:rsid w:val="0078779A"/>
    <w:rsid w:val="0079124E"/>
    <w:rsid w:val="00791CDB"/>
    <w:rsid w:val="00794E5F"/>
    <w:rsid w:val="00795004"/>
    <w:rsid w:val="00795644"/>
    <w:rsid w:val="007A0B61"/>
    <w:rsid w:val="007A1F7F"/>
    <w:rsid w:val="007A292C"/>
    <w:rsid w:val="007A3576"/>
    <w:rsid w:val="007A3BE3"/>
    <w:rsid w:val="007A5A45"/>
    <w:rsid w:val="007A64FC"/>
    <w:rsid w:val="007A7758"/>
    <w:rsid w:val="007A7D01"/>
    <w:rsid w:val="007B0A68"/>
    <w:rsid w:val="007B353F"/>
    <w:rsid w:val="007B5215"/>
    <w:rsid w:val="007B64E7"/>
    <w:rsid w:val="007C1F85"/>
    <w:rsid w:val="007C4ACA"/>
    <w:rsid w:val="007C5D15"/>
    <w:rsid w:val="007C74CF"/>
    <w:rsid w:val="007D1D43"/>
    <w:rsid w:val="007D2C31"/>
    <w:rsid w:val="007D37B2"/>
    <w:rsid w:val="007D3AAB"/>
    <w:rsid w:val="007D3F3D"/>
    <w:rsid w:val="007D4265"/>
    <w:rsid w:val="007D4BBA"/>
    <w:rsid w:val="007D5AFF"/>
    <w:rsid w:val="007D5B85"/>
    <w:rsid w:val="007D6AFF"/>
    <w:rsid w:val="007D7E57"/>
    <w:rsid w:val="007E0C39"/>
    <w:rsid w:val="007E0E49"/>
    <w:rsid w:val="007E0F40"/>
    <w:rsid w:val="007E3FE1"/>
    <w:rsid w:val="007E4FB2"/>
    <w:rsid w:val="007E594B"/>
    <w:rsid w:val="007E5B53"/>
    <w:rsid w:val="007F3053"/>
    <w:rsid w:val="007F372E"/>
    <w:rsid w:val="007F6A4E"/>
    <w:rsid w:val="007F723E"/>
    <w:rsid w:val="007F7727"/>
    <w:rsid w:val="007F7C93"/>
    <w:rsid w:val="00802025"/>
    <w:rsid w:val="00803401"/>
    <w:rsid w:val="008051DC"/>
    <w:rsid w:val="00805B96"/>
    <w:rsid w:val="00806383"/>
    <w:rsid w:val="0080730A"/>
    <w:rsid w:val="00807FBE"/>
    <w:rsid w:val="008104A6"/>
    <w:rsid w:val="00810702"/>
    <w:rsid w:val="00812173"/>
    <w:rsid w:val="00812334"/>
    <w:rsid w:val="008142C5"/>
    <w:rsid w:val="00815314"/>
    <w:rsid w:val="00815D9B"/>
    <w:rsid w:val="00816975"/>
    <w:rsid w:val="00817D20"/>
    <w:rsid w:val="00820146"/>
    <w:rsid w:val="008205A2"/>
    <w:rsid w:val="00820E3B"/>
    <w:rsid w:val="008211D4"/>
    <w:rsid w:val="00823DBA"/>
    <w:rsid w:val="0082407C"/>
    <w:rsid w:val="0082593E"/>
    <w:rsid w:val="00826B64"/>
    <w:rsid w:val="00827128"/>
    <w:rsid w:val="00830F64"/>
    <w:rsid w:val="008316FD"/>
    <w:rsid w:val="0083331E"/>
    <w:rsid w:val="008337E1"/>
    <w:rsid w:val="0083394B"/>
    <w:rsid w:val="0083494A"/>
    <w:rsid w:val="0083687C"/>
    <w:rsid w:val="0084227C"/>
    <w:rsid w:val="008428A0"/>
    <w:rsid w:val="00843904"/>
    <w:rsid w:val="00847C7E"/>
    <w:rsid w:val="00850893"/>
    <w:rsid w:val="0085295C"/>
    <w:rsid w:val="0085348D"/>
    <w:rsid w:val="0085438F"/>
    <w:rsid w:val="0085513D"/>
    <w:rsid w:val="00855B2C"/>
    <w:rsid w:val="0085671D"/>
    <w:rsid w:val="008573C2"/>
    <w:rsid w:val="00866C51"/>
    <w:rsid w:val="00867154"/>
    <w:rsid w:val="008679EC"/>
    <w:rsid w:val="008711CE"/>
    <w:rsid w:val="0087154B"/>
    <w:rsid w:val="00871B08"/>
    <w:rsid w:val="00871E57"/>
    <w:rsid w:val="00872235"/>
    <w:rsid w:val="00872293"/>
    <w:rsid w:val="00872564"/>
    <w:rsid w:val="00875095"/>
    <w:rsid w:val="008757D5"/>
    <w:rsid w:val="00875ABD"/>
    <w:rsid w:val="0088120C"/>
    <w:rsid w:val="0088226B"/>
    <w:rsid w:val="00883134"/>
    <w:rsid w:val="00885B0F"/>
    <w:rsid w:val="00891D2A"/>
    <w:rsid w:val="0089317E"/>
    <w:rsid w:val="008951F2"/>
    <w:rsid w:val="008967A0"/>
    <w:rsid w:val="008967A9"/>
    <w:rsid w:val="008A04AC"/>
    <w:rsid w:val="008A06B8"/>
    <w:rsid w:val="008A0EF4"/>
    <w:rsid w:val="008A19D4"/>
    <w:rsid w:val="008A1AFE"/>
    <w:rsid w:val="008A3906"/>
    <w:rsid w:val="008A61F3"/>
    <w:rsid w:val="008A69DE"/>
    <w:rsid w:val="008A6A59"/>
    <w:rsid w:val="008A6D64"/>
    <w:rsid w:val="008A76B2"/>
    <w:rsid w:val="008A7FF3"/>
    <w:rsid w:val="008B00B9"/>
    <w:rsid w:val="008B069C"/>
    <w:rsid w:val="008B319C"/>
    <w:rsid w:val="008B34CF"/>
    <w:rsid w:val="008B40AF"/>
    <w:rsid w:val="008B7AE1"/>
    <w:rsid w:val="008C0A44"/>
    <w:rsid w:val="008C25CC"/>
    <w:rsid w:val="008C4982"/>
    <w:rsid w:val="008C505F"/>
    <w:rsid w:val="008C597A"/>
    <w:rsid w:val="008C6C06"/>
    <w:rsid w:val="008C6F48"/>
    <w:rsid w:val="008D098C"/>
    <w:rsid w:val="008D0F70"/>
    <w:rsid w:val="008D26E9"/>
    <w:rsid w:val="008D5E61"/>
    <w:rsid w:val="008D6233"/>
    <w:rsid w:val="008D760C"/>
    <w:rsid w:val="008D7B99"/>
    <w:rsid w:val="008D7F42"/>
    <w:rsid w:val="008E0947"/>
    <w:rsid w:val="008E14BA"/>
    <w:rsid w:val="008E19F0"/>
    <w:rsid w:val="008E34B6"/>
    <w:rsid w:val="008E5C9E"/>
    <w:rsid w:val="008F1D69"/>
    <w:rsid w:val="008F3B5D"/>
    <w:rsid w:val="008F57D6"/>
    <w:rsid w:val="008F6125"/>
    <w:rsid w:val="00900072"/>
    <w:rsid w:val="00900FC5"/>
    <w:rsid w:val="009010E2"/>
    <w:rsid w:val="00901698"/>
    <w:rsid w:val="009023C2"/>
    <w:rsid w:val="00902458"/>
    <w:rsid w:val="00903EB5"/>
    <w:rsid w:val="00904A04"/>
    <w:rsid w:val="009052A0"/>
    <w:rsid w:val="00905745"/>
    <w:rsid w:val="0091047A"/>
    <w:rsid w:val="009106BA"/>
    <w:rsid w:val="009108A9"/>
    <w:rsid w:val="00912AB8"/>
    <w:rsid w:val="00913847"/>
    <w:rsid w:val="00915021"/>
    <w:rsid w:val="00920A2D"/>
    <w:rsid w:val="00920F93"/>
    <w:rsid w:val="00922AC7"/>
    <w:rsid w:val="00923AD2"/>
    <w:rsid w:val="009245C3"/>
    <w:rsid w:val="0092526A"/>
    <w:rsid w:val="009256DC"/>
    <w:rsid w:val="00926554"/>
    <w:rsid w:val="009302C5"/>
    <w:rsid w:val="00930CCD"/>
    <w:rsid w:val="009321E7"/>
    <w:rsid w:val="009342BC"/>
    <w:rsid w:val="00935BD8"/>
    <w:rsid w:val="009435F1"/>
    <w:rsid w:val="00946020"/>
    <w:rsid w:val="009466A9"/>
    <w:rsid w:val="00947AA6"/>
    <w:rsid w:val="0095104F"/>
    <w:rsid w:val="009510B2"/>
    <w:rsid w:val="0095124B"/>
    <w:rsid w:val="0095137B"/>
    <w:rsid w:val="00951D5D"/>
    <w:rsid w:val="00956271"/>
    <w:rsid w:val="0096263D"/>
    <w:rsid w:val="00970BE6"/>
    <w:rsid w:val="00970FD8"/>
    <w:rsid w:val="0097259D"/>
    <w:rsid w:val="00973DB3"/>
    <w:rsid w:val="00974DA6"/>
    <w:rsid w:val="0097658F"/>
    <w:rsid w:val="009803B5"/>
    <w:rsid w:val="00981FF4"/>
    <w:rsid w:val="00982F9E"/>
    <w:rsid w:val="00983275"/>
    <w:rsid w:val="0098517D"/>
    <w:rsid w:val="009854CB"/>
    <w:rsid w:val="00985B04"/>
    <w:rsid w:val="00986504"/>
    <w:rsid w:val="0099045A"/>
    <w:rsid w:val="009913B8"/>
    <w:rsid w:val="00992CF5"/>
    <w:rsid w:val="00992F92"/>
    <w:rsid w:val="0099373C"/>
    <w:rsid w:val="009971DE"/>
    <w:rsid w:val="00997C4F"/>
    <w:rsid w:val="009A1519"/>
    <w:rsid w:val="009A19A1"/>
    <w:rsid w:val="009A2594"/>
    <w:rsid w:val="009A265C"/>
    <w:rsid w:val="009A3281"/>
    <w:rsid w:val="009A4005"/>
    <w:rsid w:val="009A7B45"/>
    <w:rsid w:val="009A7B47"/>
    <w:rsid w:val="009B0C7F"/>
    <w:rsid w:val="009B1BFA"/>
    <w:rsid w:val="009B232D"/>
    <w:rsid w:val="009B2607"/>
    <w:rsid w:val="009B37C9"/>
    <w:rsid w:val="009B5D0B"/>
    <w:rsid w:val="009C0FFA"/>
    <w:rsid w:val="009C2F57"/>
    <w:rsid w:val="009C55E6"/>
    <w:rsid w:val="009C5B14"/>
    <w:rsid w:val="009D0497"/>
    <w:rsid w:val="009D1AE5"/>
    <w:rsid w:val="009D285C"/>
    <w:rsid w:val="009D2E5D"/>
    <w:rsid w:val="009D38F9"/>
    <w:rsid w:val="009D3D7A"/>
    <w:rsid w:val="009D4076"/>
    <w:rsid w:val="009D54F1"/>
    <w:rsid w:val="009D5A98"/>
    <w:rsid w:val="009D5D20"/>
    <w:rsid w:val="009D7ECB"/>
    <w:rsid w:val="009E1D45"/>
    <w:rsid w:val="009E44EB"/>
    <w:rsid w:val="009E4824"/>
    <w:rsid w:val="009E7741"/>
    <w:rsid w:val="009E777A"/>
    <w:rsid w:val="009F01A0"/>
    <w:rsid w:val="009F10B1"/>
    <w:rsid w:val="009F18E5"/>
    <w:rsid w:val="009F1FCD"/>
    <w:rsid w:val="009F26F5"/>
    <w:rsid w:val="009F32AB"/>
    <w:rsid w:val="009F3657"/>
    <w:rsid w:val="009F74DD"/>
    <w:rsid w:val="009F7EB3"/>
    <w:rsid w:val="00A01035"/>
    <w:rsid w:val="00A0329F"/>
    <w:rsid w:val="00A037FA"/>
    <w:rsid w:val="00A04464"/>
    <w:rsid w:val="00A054BF"/>
    <w:rsid w:val="00A0625A"/>
    <w:rsid w:val="00A071B6"/>
    <w:rsid w:val="00A11096"/>
    <w:rsid w:val="00A12790"/>
    <w:rsid w:val="00A13333"/>
    <w:rsid w:val="00A14468"/>
    <w:rsid w:val="00A14EB4"/>
    <w:rsid w:val="00A15BDA"/>
    <w:rsid w:val="00A1692D"/>
    <w:rsid w:val="00A175B3"/>
    <w:rsid w:val="00A200F4"/>
    <w:rsid w:val="00A20724"/>
    <w:rsid w:val="00A21963"/>
    <w:rsid w:val="00A22069"/>
    <w:rsid w:val="00A24E54"/>
    <w:rsid w:val="00A25AF6"/>
    <w:rsid w:val="00A260FC"/>
    <w:rsid w:val="00A305EB"/>
    <w:rsid w:val="00A313DB"/>
    <w:rsid w:val="00A33A65"/>
    <w:rsid w:val="00A36596"/>
    <w:rsid w:val="00A37C31"/>
    <w:rsid w:val="00A402D3"/>
    <w:rsid w:val="00A4240F"/>
    <w:rsid w:val="00A44CB5"/>
    <w:rsid w:val="00A470F1"/>
    <w:rsid w:val="00A476EC"/>
    <w:rsid w:val="00A4799B"/>
    <w:rsid w:val="00A51844"/>
    <w:rsid w:val="00A51AE2"/>
    <w:rsid w:val="00A53B1B"/>
    <w:rsid w:val="00A53E7A"/>
    <w:rsid w:val="00A54D0A"/>
    <w:rsid w:val="00A5573D"/>
    <w:rsid w:val="00A57B83"/>
    <w:rsid w:val="00A60F3D"/>
    <w:rsid w:val="00A60FD5"/>
    <w:rsid w:val="00A61830"/>
    <w:rsid w:val="00A6677D"/>
    <w:rsid w:val="00A70644"/>
    <w:rsid w:val="00A72468"/>
    <w:rsid w:val="00A74404"/>
    <w:rsid w:val="00A74D10"/>
    <w:rsid w:val="00A81860"/>
    <w:rsid w:val="00A81EB5"/>
    <w:rsid w:val="00A8391D"/>
    <w:rsid w:val="00A856F3"/>
    <w:rsid w:val="00A865CB"/>
    <w:rsid w:val="00A90970"/>
    <w:rsid w:val="00A909D8"/>
    <w:rsid w:val="00A909DF"/>
    <w:rsid w:val="00A90AB1"/>
    <w:rsid w:val="00A90AD0"/>
    <w:rsid w:val="00A90CC0"/>
    <w:rsid w:val="00A92F43"/>
    <w:rsid w:val="00A93B7D"/>
    <w:rsid w:val="00A93D54"/>
    <w:rsid w:val="00A948DD"/>
    <w:rsid w:val="00A94CFA"/>
    <w:rsid w:val="00A953B1"/>
    <w:rsid w:val="00A96AF7"/>
    <w:rsid w:val="00A96E91"/>
    <w:rsid w:val="00AA1B00"/>
    <w:rsid w:val="00AA1C72"/>
    <w:rsid w:val="00AA1E02"/>
    <w:rsid w:val="00AA2A0F"/>
    <w:rsid w:val="00AA36C5"/>
    <w:rsid w:val="00AA3A65"/>
    <w:rsid w:val="00AA54C2"/>
    <w:rsid w:val="00AA71CE"/>
    <w:rsid w:val="00AA74D8"/>
    <w:rsid w:val="00AB17FB"/>
    <w:rsid w:val="00AB3277"/>
    <w:rsid w:val="00AB339B"/>
    <w:rsid w:val="00AB3C04"/>
    <w:rsid w:val="00AB509E"/>
    <w:rsid w:val="00AB6B14"/>
    <w:rsid w:val="00AB7F01"/>
    <w:rsid w:val="00AC0CD9"/>
    <w:rsid w:val="00AC0D3D"/>
    <w:rsid w:val="00AC1177"/>
    <w:rsid w:val="00AC1F1B"/>
    <w:rsid w:val="00AC2C4C"/>
    <w:rsid w:val="00AC2D9A"/>
    <w:rsid w:val="00AC318B"/>
    <w:rsid w:val="00AC49C1"/>
    <w:rsid w:val="00AC4C41"/>
    <w:rsid w:val="00AC5A23"/>
    <w:rsid w:val="00AC782C"/>
    <w:rsid w:val="00AD0060"/>
    <w:rsid w:val="00AD1FFC"/>
    <w:rsid w:val="00AD21F2"/>
    <w:rsid w:val="00AD58B1"/>
    <w:rsid w:val="00AE0C50"/>
    <w:rsid w:val="00AE1AAA"/>
    <w:rsid w:val="00AE1EC0"/>
    <w:rsid w:val="00AE2156"/>
    <w:rsid w:val="00AE3F60"/>
    <w:rsid w:val="00AE437F"/>
    <w:rsid w:val="00AE4402"/>
    <w:rsid w:val="00AF047E"/>
    <w:rsid w:val="00AF1042"/>
    <w:rsid w:val="00AF3501"/>
    <w:rsid w:val="00AF3CBE"/>
    <w:rsid w:val="00AF43BC"/>
    <w:rsid w:val="00AF4613"/>
    <w:rsid w:val="00AF5D9E"/>
    <w:rsid w:val="00B01186"/>
    <w:rsid w:val="00B01D94"/>
    <w:rsid w:val="00B01E32"/>
    <w:rsid w:val="00B02521"/>
    <w:rsid w:val="00B02EC1"/>
    <w:rsid w:val="00B049FC"/>
    <w:rsid w:val="00B05B00"/>
    <w:rsid w:val="00B05D95"/>
    <w:rsid w:val="00B077A9"/>
    <w:rsid w:val="00B10155"/>
    <w:rsid w:val="00B11439"/>
    <w:rsid w:val="00B123E2"/>
    <w:rsid w:val="00B125DC"/>
    <w:rsid w:val="00B1399A"/>
    <w:rsid w:val="00B1415D"/>
    <w:rsid w:val="00B16D24"/>
    <w:rsid w:val="00B173E1"/>
    <w:rsid w:val="00B17773"/>
    <w:rsid w:val="00B17E9A"/>
    <w:rsid w:val="00B2006F"/>
    <w:rsid w:val="00B23154"/>
    <w:rsid w:val="00B24102"/>
    <w:rsid w:val="00B24CDF"/>
    <w:rsid w:val="00B2507D"/>
    <w:rsid w:val="00B27DF6"/>
    <w:rsid w:val="00B30872"/>
    <w:rsid w:val="00B317A3"/>
    <w:rsid w:val="00B34191"/>
    <w:rsid w:val="00B34DF8"/>
    <w:rsid w:val="00B35882"/>
    <w:rsid w:val="00B403FA"/>
    <w:rsid w:val="00B41C1A"/>
    <w:rsid w:val="00B42EF8"/>
    <w:rsid w:val="00B430D9"/>
    <w:rsid w:val="00B44F7E"/>
    <w:rsid w:val="00B474EB"/>
    <w:rsid w:val="00B4779B"/>
    <w:rsid w:val="00B510FF"/>
    <w:rsid w:val="00B5370E"/>
    <w:rsid w:val="00B53C30"/>
    <w:rsid w:val="00B53E16"/>
    <w:rsid w:val="00B5735D"/>
    <w:rsid w:val="00B600DF"/>
    <w:rsid w:val="00B60AED"/>
    <w:rsid w:val="00B616E4"/>
    <w:rsid w:val="00B61981"/>
    <w:rsid w:val="00B62A55"/>
    <w:rsid w:val="00B6342D"/>
    <w:rsid w:val="00B6363D"/>
    <w:rsid w:val="00B63A6A"/>
    <w:rsid w:val="00B63CC1"/>
    <w:rsid w:val="00B663B8"/>
    <w:rsid w:val="00B66579"/>
    <w:rsid w:val="00B66ABA"/>
    <w:rsid w:val="00B70114"/>
    <w:rsid w:val="00B71C5C"/>
    <w:rsid w:val="00B7279B"/>
    <w:rsid w:val="00B72EA5"/>
    <w:rsid w:val="00B749AE"/>
    <w:rsid w:val="00B779B6"/>
    <w:rsid w:val="00B810A9"/>
    <w:rsid w:val="00B812A4"/>
    <w:rsid w:val="00B81F0A"/>
    <w:rsid w:val="00B827FD"/>
    <w:rsid w:val="00B82F66"/>
    <w:rsid w:val="00B83287"/>
    <w:rsid w:val="00B84080"/>
    <w:rsid w:val="00B84C1D"/>
    <w:rsid w:val="00B879C8"/>
    <w:rsid w:val="00B90256"/>
    <w:rsid w:val="00B9139B"/>
    <w:rsid w:val="00B915B4"/>
    <w:rsid w:val="00B919A6"/>
    <w:rsid w:val="00B93248"/>
    <w:rsid w:val="00B934FC"/>
    <w:rsid w:val="00B952C3"/>
    <w:rsid w:val="00B9628E"/>
    <w:rsid w:val="00B97081"/>
    <w:rsid w:val="00BA0E72"/>
    <w:rsid w:val="00BA0FDF"/>
    <w:rsid w:val="00BA1263"/>
    <w:rsid w:val="00BA3249"/>
    <w:rsid w:val="00BA4ACF"/>
    <w:rsid w:val="00BA570B"/>
    <w:rsid w:val="00BA5734"/>
    <w:rsid w:val="00BA6764"/>
    <w:rsid w:val="00BA68F9"/>
    <w:rsid w:val="00BA6CE2"/>
    <w:rsid w:val="00BA6F7E"/>
    <w:rsid w:val="00BA790F"/>
    <w:rsid w:val="00BB3334"/>
    <w:rsid w:val="00BB5A39"/>
    <w:rsid w:val="00BB5A67"/>
    <w:rsid w:val="00BB6A27"/>
    <w:rsid w:val="00BC057B"/>
    <w:rsid w:val="00BC11A3"/>
    <w:rsid w:val="00BC1D3B"/>
    <w:rsid w:val="00BC2B20"/>
    <w:rsid w:val="00BC3238"/>
    <w:rsid w:val="00BC449C"/>
    <w:rsid w:val="00BC6F06"/>
    <w:rsid w:val="00BC76D2"/>
    <w:rsid w:val="00BD0AF3"/>
    <w:rsid w:val="00BD1964"/>
    <w:rsid w:val="00BD448F"/>
    <w:rsid w:val="00BD46CF"/>
    <w:rsid w:val="00BE0BDD"/>
    <w:rsid w:val="00BE21C2"/>
    <w:rsid w:val="00BE2D81"/>
    <w:rsid w:val="00BE2DC3"/>
    <w:rsid w:val="00BE4C71"/>
    <w:rsid w:val="00BF3EA8"/>
    <w:rsid w:val="00BF4957"/>
    <w:rsid w:val="00BF4ABD"/>
    <w:rsid w:val="00BF7C61"/>
    <w:rsid w:val="00C00344"/>
    <w:rsid w:val="00C02465"/>
    <w:rsid w:val="00C0261E"/>
    <w:rsid w:val="00C04D5F"/>
    <w:rsid w:val="00C0707E"/>
    <w:rsid w:val="00C0748D"/>
    <w:rsid w:val="00C10CE7"/>
    <w:rsid w:val="00C11FCF"/>
    <w:rsid w:val="00C1233E"/>
    <w:rsid w:val="00C13296"/>
    <w:rsid w:val="00C13980"/>
    <w:rsid w:val="00C13FAA"/>
    <w:rsid w:val="00C15562"/>
    <w:rsid w:val="00C20A16"/>
    <w:rsid w:val="00C2144B"/>
    <w:rsid w:val="00C23243"/>
    <w:rsid w:val="00C23D8C"/>
    <w:rsid w:val="00C2441F"/>
    <w:rsid w:val="00C24D96"/>
    <w:rsid w:val="00C25445"/>
    <w:rsid w:val="00C2657F"/>
    <w:rsid w:val="00C26931"/>
    <w:rsid w:val="00C273C2"/>
    <w:rsid w:val="00C3021B"/>
    <w:rsid w:val="00C30329"/>
    <w:rsid w:val="00C35296"/>
    <w:rsid w:val="00C35CCA"/>
    <w:rsid w:val="00C35DD7"/>
    <w:rsid w:val="00C360E2"/>
    <w:rsid w:val="00C36950"/>
    <w:rsid w:val="00C37366"/>
    <w:rsid w:val="00C40BA0"/>
    <w:rsid w:val="00C438E0"/>
    <w:rsid w:val="00C440A0"/>
    <w:rsid w:val="00C46A25"/>
    <w:rsid w:val="00C47559"/>
    <w:rsid w:val="00C47D8E"/>
    <w:rsid w:val="00C50AA4"/>
    <w:rsid w:val="00C50E44"/>
    <w:rsid w:val="00C51796"/>
    <w:rsid w:val="00C55B03"/>
    <w:rsid w:val="00C55ED3"/>
    <w:rsid w:val="00C56004"/>
    <w:rsid w:val="00C60421"/>
    <w:rsid w:val="00C64105"/>
    <w:rsid w:val="00C67B7A"/>
    <w:rsid w:val="00C70DBB"/>
    <w:rsid w:val="00C71407"/>
    <w:rsid w:val="00C71B24"/>
    <w:rsid w:val="00C72331"/>
    <w:rsid w:val="00C74416"/>
    <w:rsid w:val="00C749A6"/>
    <w:rsid w:val="00C75628"/>
    <w:rsid w:val="00C77EDD"/>
    <w:rsid w:val="00C802B0"/>
    <w:rsid w:val="00C80818"/>
    <w:rsid w:val="00C80ED0"/>
    <w:rsid w:val="00C817D9"/>
    <w:rsid w:val="00C82848"/>
    <w:rsid w:val="00C82F90"/>
    <w:rsid w:val="00C82FB3"/>
    <w:rsid w:val="00C83118"/>
    <w:rsid w:val="00C83415"/>
    <w:rsid w:val="00C85BA7"/>
    <w:rsid w:val="00C870E7"/>
    <w:rsid w:val="00C9050C"/>
    <w:rsid w:val="00C91D79"/>
    <w:rsid w:val="00C940AB"/>
    <w:rsid w:val="00CA0EBE"/>
    <w:rsid w:val="00CA1D70"/>
    <w:rsid w:val="00CA1F1D"/>
    <w:rsid w:val="00CA26F2"/>
    <w:rsid w:val="00CA63C8"/>
    <w:rsid w:val="00CA6A6D"/>
    <w:rsid w:val="00CA6D44"/>
    <w:rsid w:val="00CA73B1"/>
    <w:rsid w:val="00CA7DCA"/>
    <w:rsid w:val="00CB0F94"/>
    <w:rsid w:val="00CB27E1"/>
    <w:rsid w:val="00CB3337"/>
    <w:rsid w:val="00CB3921"/>
    <w:rsid w:val="00CB3A51"/>
    <w:rsid w:val="00CB44C6"/>
    <w:rsid w:val="00CB47B8"/>
    <w:rsid w:val="00CB5185"/>
    <w:rsid w:val="00CB59ED"/>
    <w:rsid w:val="00CB5DD2"/>
    <w:rsid w:val="00CB7F3A"/>
    <w:rsid w:val="00CC1125"/>
    <w:rsid w:val="00CC2C0F"/>
    <w:rsid w:val="00CC3343"/>
    <w:rsid w:val="00CC495B"/>
    <w:rsid w:val="00CC563C"/>
    <w:rsid w:val="00CC5EE7"/>
    <w:rsid w:val="00CC76E6"/>
    <w:rsid w:val="00CD00F7"/>
    <w:rsid w:val="00CD1005"/>
    <w:rsid w:val="00CD1C4D"/>
    <w:rsid w:val="00CD1DB7"/>
    <w:rsid w:val="00CD52D8"/>
    <w:rsid w:val="00CD531E"/>
    <w:rsid w:val="00CD55C0"/>
    <w:rsid w:val="00CD5C8F"/>
    <w:rsid w:val="00CD6AD5"/>
    <w:rsid w:val="00CD7B48"/>
    <w:rsid w:val="00CE2C03"/>
    <w:rsid w:val="00CE4AE9"/>
    <w:rsid w:val="00CE5D24"/>
    <w:rsid w:val="00CE60CE"/>
    <w:rsid w:val="00CE64FC"/>
    <w:rsid w:val="00CE6F20"/>
    <w:rsid w:val="00CE7FF6"/>
    <w:rsid w:val="00CF0B22"/>
    <w:rsid w:val="00CF0F09"/>
    <w:rsid w:val="00CF2126"/>
    <w:rsid w:val="00CF3238"/>
    <w:rsid w:val="00CF54EF"/>
    <w:rsid w:val="00CF626A"/>
    <w:rsid w:val="00CF6307"/>
    <w:rsid w:val="00CF66D7"/>
    <w:rsid w:val="00CF6C3C"/>
    <w:rsid w:val="00CF70E4"/>
    <w:rsid w:val="00D00580"/>
    <w:rsid w:val="00D00D7A"/>
    <w:rsid w:val="00D036F1"/>
    <w:rsid w:val="00D04E5D"/>
    <w:rsid w:val="00D05810"/>
    <w:rsid w:val="00D05C70"/>
    <w:rsid w:val="00D068E9"/>
    <w:rsid w:val="00D077B0"/>
    <w:rsid w:val="00D07B4D"/>
    <w:rsid w:val="00D10FF7"/>
    <w:rsid w:val="00D11364"/>
    <w:rsid w:val="00D11446"/>
    <w:rsid w:val="00D1386A"/>
    <w:rsid w:val="00D142DD"/>
    <w:rsid w:val="00D144F3"/>
    <w:rsid w:val="00D15426"/>
    <w:rsid w:val="00D170C3"/>
    <w:rsid w:val="00D17C57"/>
    <w:rsid w:val="00D17FA6"/>
    <w:rsid w:val="00D2195C"/>
    <w:rsid w:val="00D22423"/>
    <w:rsid w:val="00D238D4"/>
    <w:rsid w:val="00D24665"/>
    <w:rsid w:val="00D25856"/>
    <w:rsid w:val="00D27125"/>
    <w:rsid w:val="00D27FE4"/>
    <w:rsid w:val="00D32177"/>
    <w:rsid w:val="00D32D02"/>
    <w:rsid w:val="00D32DF6"/>
    <w:rsid w:val="00D335B2"/>
    <w:rsid w:val="00D33FEE"/>
    <w:rsid w:val="00D344C8"/>
    <w:rsid w:val="00D34D47"/>
    <w:rsid w:val="00D35E9F"/>
    <w:rsid w:val="00D402AF"/>
    <w:rsid w:val="00D413EA"/>
    <w:rsid w:val="00D41A62"/>
    <w:rsid w:val="00D41EF3"/>
    <w:rsid w:val="00D42FA4"/>
    <w:rsid w:val="00D4301E"/>
    <w:rsid w:val="00D470F2"/>
    <w:rsid w:val="00D51499"/>
    <w:rsid w:val="00D53A85"/>
    <w:rsid w:val="00D540B1"/>
    <w:rsid w:val="00D54A6A"/>
    <w:rsid w:val="00D54F92"/>
    <w:rsid w:val="00D550AE"/>
    <w:rsid w:val="00D55157"/>
    <w:rsid w:val="00D60A2A"/>
    <w:rsid w:val="00D62028"/>
    <w:rsid w:val="00D620E2"/>
    <w:rsid w:val="00D63140"/>
    <w:rsid w:val="00D634A1"/>
    <w:rsid w:val="00D64E73"/>
    <w:rsid w:val="00D65BCD"/>
    <w:rsid w:val="00D65FF8"/>
    <w:rsid w:val="00D6738F"/>
    <w:rsid w:val="00D67A11"/>
    <w:rsid w:val="00D718D3"/>
    <w:rsid w:val="00D72058"/>
    <w:rsid w:val="00D739CB"/>
    <w:rsid w:val="00D73D73"/>
    <w:rsid w:val="00D73E30"/>
    <w:rsid w:val="00D7419D"/>
    <w:rsid w:val="00D74C3E"/>
    <w:rsid w:val="00D76F45"/>
    <w:rsid w:val="00D77F9E"/>
    <w:rsid w:val="00D81492"/>
    <w:rsid w:val="00D82431"/>
    <w:rsid w:val="00D83DC7"/>
    <w:rsid w:val="00D84C82"/>
    <w:rsid w:val="00D861B7"/>
    <w:rsid w:val="00D90648"/>
    <w:rsid w:val="00D916B3"/>
    <w:rsid w:val="00D94006"/>
    <w:rsid w:val="00D948BF"/>
    <w:rsid w:val="00D958AC"/>
    <w:rsid w:val="00D969FC"/>
    <w:rsid w:val="00D9769D"/>
    <w:rsid w:val="00DA1628"/>
    <w:rsid w:val="00DA52B8"/>
    <w:rsid w:val="00DA5C90"/>
    <w:rsid w:val="00DA5F2F"/>
    <w:rsid w:val="00DB01E9"/>
    <w:rsid w:val="00DB13E1"/>
    <w:rsid w:val="00DB3B8F"/>
    <w:rsid w:val="00DB3D92"/>
    <w:rsid w:val="00DB4076"/>
    <w:rsid w:val="00DB7A2F"/>
    <w:rsid w:val="00DC1BD2"/>
    <w:rsid w:val="00DC44F3"/>
    <w:rsid w:val="00DC453F"/>
    <w:rsid w:val="00DC48C7"/>
    <w:rsid w:val="00DC6BA2"/>
    <w:rsid w:val="00DC7CDA"/>
    <w:rsid w:val="00DD17FA"/>
    <w:rsid w:val="00DD5149"/>
    <w:rsid w:val="00DD5CE8"/>
    <w:rsid w:val="00DD6945"/>
    <w:rsid w:val="00DD7EC6"/>
    <w:rsid w:val="00DE299F"/>
    <w:rsid w:val="00DE2C08"/>
    <w:rsid w:val="00DE2C9B"/>
    <w:rsid w:val="00DE6DCD"/>
    <w:rsid w:val="00DE7471"/>
    <w:rsid w:val="00DE7EC0"/>
    <w:rsid w:val="00DE7F4F"/>
    <w:rsid w:val="00DF0984"/>
    <w:rsid w:val="00DF27DB"/>
    <w:rsid w:val="00DF2C29"/>
    <w:rsid w:val="00DF325C"/>
    <w:rsid w:val="00DF32CE"/>
    <w:rsid w:val="00DF335A"/>
    <w:rsid w:val="00DF53A2"/>
    <w:rsid w:val="00DF58BF"/>
    <w:rsid w:val="00DF5FCA"/>
    <w:rsid w:val="00DF6210"/>
    <w:rsid w:val="00DF732C"/>
    <w:rsid w:val="00E0012E"/>
    <w:rsid w:val="00E00527"/>
    <w:rsid w:val="00E01614"/>
    <w:rsid w:val="00E04819"/>
    <w:rsid w:val="00E05820"/>
    <w:rsid w:val="00E0644E"/>
    <w:rsid w:val="00E1093D"/>
    <w:rsid w:val="00E117B9"/>
    <w:rsid w:val="00E124DA"/>
    <w:rsid w:val="00E128EE"/>
    <w:rsid w:val="00E1313D"/>
    <w:rsid w:val="00E148CB"/>
    <w:rsid w:val="00E15A97"/>
    <w:rsid w:val="00E16D6F"/>
    <w:rsid w:val="00E1743B"/>
    <w:rsid w:val="00E1783F"/>
    <w:rsid w:val="00E21724"/>
    <w:rsid w:val="00E2238F"/>
    <w:rsid w:val="00E22A79"/>
    <w:rsid w:val="00E23AE5"/>
    <w:rsid w:val="00E26114"/>
    <w:rsid w:val="00E27C63"/>
    <w:rsid w:val="00E31DD0"/>
    <w:rsid w:val="00E32599"/>
    <w:rsid w:val="00E33DC0"/>
    <w:rsid w:val="00E342EB"/>
    <w:rsid w:val="00E344C3"/>
    <w:rsid w:val="00E36B75"/>
    <w:rsid w:val="00E36E98"/>
    <w:rsid w:val="00E379F9"/>
    <w:rsid w:val="00E40DDC"/>
    <w:rsid w:val="00E429DC"/>
    <w:rsid w:val="00E44E18"/>
    <w:rsid w:val="00E457D3"/>
    <w:rsid w:val="00E4633E"/>
    <w:rsid w:val="00E477EA"/>
    <w:rsid w:val="00E47A51"/>
    <w:rsid w:val="00E5109A"/>
    <w:rsid w:val="00E52EAA"/>
    <w:rsid w:val="00E56E7F"/>
    <w:rsid w:val="00E570DA"/>
    <w:rsid w:val="00E57643"/>
    <w:rsid w:val="00E57A41"/>
    <w:rsid w:val="00E6066B"/>
    <w:rsid w:val="00E61B95"/>
    <w:rsid w:val="00E62B41"/>
    <w:rsid w:val="00E633C1"/>
    <w:rsid w:val="00E63BCB"/>
    <w:rsid w:val="00E641B2"/>
    <w:rsid w:val="00E64718"/>
    <w:rsid w:val="00E64D63"/>
    <w:rsid w:val="00E65E97"/>
    <w:rsid w:val="00E66670"/>
    <w:rsid w:val="00E66A1D"/>
    <w:rsid w:val="00E672BC"/>
    <w:rsid w:val="00E675D5"/>
    <w:rsid w:val="00E7005A"/>
    <w:rsid w:val="00E7047A"/>
    <w:rsid w:val="00E70B5F"/>
    <w:rsid w:val="00E71B33"/>
    <w:rsid w:val="00E71CE5"/>
    <w:rsid w:val="00E72CD7"/>
    <w:rsid w:val="00E73232"/>
    <w:rsid w:val="00E73325"/>
    <w:rsid w:val="00E73DAE"/>
    <w:rsid w:val="00E75D04"/>
    <w:rsid w:val="00E75E72"/>
    <w:rsid w:val="00E76A7B"/>
    <w:rsid w:val="00E76E58"/>
    <w:rsid w:val="00E808A5"/>
    <w:rsid w:val="00E81C4A"/>
    <w:rsid w:val="00E8236F"/>
    <w:rsid w:val="00E82D89"/>
    <w:rsid w:val="00E83900"/>
    <w:rsid w:val="00E853E5"/>
    <w:rsid w:val="00E85923"/>
    <w:rsid w:val="00E85DC8"/>
    <w:rsid w:val="00E87123"/>
    <w:rsid w:val="00E8792E"/>
    <w:rsid w:val="00E9015B"/>
    <w:rsid w:val="00E90422"/>
    <w:rsid w:val="00E90EBA"/>
    <w:rsid w:val="00E914AC"/>
    <w:rsid w:val="00E92089"/>
    <w:rsid w:val="00E92E34"/>
    <w:rsid w:val="00E97480"/>
    <w:rsid w:val="00EA00B6"/>
    <w:rsid w:val="00EA2B12"/>
    <w:rsid w:val="00EA2D6B"/>
    <w:rsid w:val="00EA318A"/>
    <w:rsid w:val="00EA3885"/>
    <w:rsid w:val="00EB1CB1"/>
    <w:rsid w:val="00EB2C9D"/>
    <w:rsid w:val="00EB41F0"/>
    <w:rsid w:val="00EB61D7"/>
    <w:rsid w:val="00EB7219"/>
    <w:rsid w:val="00EB78E7"/>
    <w:rsid w:val="00EC35C7"/>
    <w:rsid w:val="00EC42E8"/>
    <w:rsid w:val="00EC4484"/>
    <w:rsid w:val="00EC44C3"/>
    <w:rsid w:val="00EC4AA5"/>
    <w:rsid w:val="00EC5E87"/>
    <w:rsid w:val="00EC6451"/>
    <w:rsid w:val="00ED1A99"/>
    <w:rsid w:val="00ED4FDE"/>
    <w:rsid w:val="00ED536B"/>
    <w:rsid w:val="00EE2195"/>
    <w:rsid w:val="00EE27C1"/>
    <w:rsid w:val="00EE2C64"/>
    <w:rsid w:val="00EE4113"/>
    <w:rsid w:val="00EE5A9A"/>
    <w:rsid w:val="00EE6105"/>
    <w:rsid w:val="00EE70D1"/>
    <w:rsid w:val="00EF06A8"/>
    <w:rsid w:val="00EF141D"/>
    <w:rsid w:val="00EF180A"/>
    <w:rsid w:val="00EF36FC"/>
    <w:rsid w:val="00EF3946"/>
    <w:rsid w:val="00EF3DAD"/>
    <w:rsid w:val="00F00C85"/>
    <w:rsid w:val="00F01AD3"/>
    <w:rsid w:val="00F043E1"/>
    <w:rsid w:val="00F044AC"/>
    <w:rsid w:val="00F0535B"/>
    <w:rsid w:val="00F059AD"/>
    <w:rsid w:val="00F07A79"/>
    <w:rsid w:val="00F10086"/>
    <w:rsid w:val="00F10250"/>
    <w:rsid w:val="00F10342"/>
    <w:rsid w:val="00F158CE"/>
    <w:rsid w:val="00F1620A"/>
    <w:rsid w:val="00F162E6"/>
    <w:rsid w:val="00F203C2"/>
    <w:rsid w:val="00F216E3"/>
    <w:rsid w:val="00F23AC5"/>
    <w:rsid w:val="00F24378"/>
    <w:rsid w:val="00F25198"/>
    <w:rsid w:val="00F25DC9"/>
    <w:rsid w:val="00F25DE4"/>
    <w:rsid w:val="00F265D7"/>
    <w:rsid w:val="00F30103"/>
    <w:rsid w:val="00F30D05"/>
    <w:rsid w:val="00F313E1"/>
    <w:rsid w:val="00F32EA4"/>
    <w:rsid w:val="00F3331A"/>
    <w:rsid w:val="00F34048"/>
    <w:rsid w:val="00F36D5A"/>
    <w:rsid w:val="00F3729B"/>
    <w:rsid w:val="00F37709"/>
    <w:rsid w:val="00F3799B"/>
    <w:rsid w:val="00F37A5C"/>
    <w:rsid w:val="00F40136"/>
    <w:rsid w:val="00F40D50"/>
    <w:rsid w:val="00F41280"/>
    <w:rsid w:val="00F42395"/>
    <w:rsid w:val="00F45A8E"/>
    <w:rsid w:val="00F464D9"/>
    <w:rsid w:val="00F47570"/>
    <w:rsid w:val="00F50158"/>
    <w:rsid w:val="00F52294"/>
    <w:rsid w:val="00F562D9"/>
    <w:rsid w:val="00F56559"/>
    <w:rsid w:val="00F5699F"/>
    <w:rsid w:val="00F56F58"/>
    <w:rsid w:val="00F57055"/>
    <w:rsid w:val="00F573DE"/>
    <w:rsid w:val="00F60200"/>
    <w:rsid w:val="00F62A3A"/>
    <w:rsid w:val="00F62DF1"/>
    <w:rsid w:val="00F6434E"/>
    <w:rsid w:val="00F6589B"/>
    <w:rsid w:val="00F663DE"/>
    <w:rsid w:val="00F67405"/>
    <w:rsid w:val="00F70F53"/>
    <w:rsid w:val="00F727CA"/>
    <w:rsid w:val="00F7286E"/>
    <w:rsid w:val="00F73520"/>
    <w:rsid w:val="00F74572"/>
    <w:rsid w:val="00F74C2B"/>
    <w:rsid w:val="00F759BF"/>
    <w:rsid w:val="00F75D9A"/>
    <w:rsid w:val="00F75DA9"/>
    <w:rsid w:val="00F771EB"/>
    <w:rsid w:val="00F77FC8"/>
    <w:rsid w:val="00F80FC0"/>
    <w:rsid w:val="00F81730"/>
    <w:rsid w:val="00F8211D"/>
    <w:rsid w:val="00F834D3"/>
    <w:rsid w:val="00F83A64"/>
    <w:rsid w:val="00F8423D"/>
    <w:rsid w:val="00F8499E"/>
    <w:rsid w:val="00F85EFF"/>
    <w:rsid w:val="00F86A02"/>
    <w:rsid w:val="00F87FD3"/>
    <w:rsid w:val="00F90C60"/>
    <w:rsid w:val="00F91DEE"/>
    <w:rsid w:val="00F92234"/>
    <w:rsid w:val="00F92241"/>
    <w:rsid w:val="00F92A63"/>
    <w:rsid w:val="00F9333A"/>
    <w:rsid w:val="00F959EC"/>
    <w:rsid w:val="00F969A4"/>
    <w:rsid w:val="00F97501"/>
    <w:rsid w:val="00FA32FC"/>
    <w:rsid w:val="00FA4BAC"/>
    <w:rsid w:val="00FA5C5F"/>
    <w:rsid w:val="00FA62B6"/>
    <w:rsid w:val="00FB0146"/>
    <w:rsid w:val="00FB11AA"/>
    <w:rsid w:val="00FB1C23"/>
    <w:rsid w:val="00FB2CFE"/>
    <w:rsid w:val="00FB4ED0"/>
    <w:rsid w:val="00FB5626"/>
    <w:rsid w:val="00FB578A"/>
    <w:rsid w:val="00FB6203"/>
    <w:rsid w:val="00FC062B"/>
    <w:rsid w:val="00FC2866"/>
    <w:rsid w:val="00FC42F9"/>
    <w:rsid w:val="00FC5412"/>
    <w:rsid w:val="00FC6B44"/>
    <w:rsid w:val="00FC758B"/>
    <w:rsid w:val="00FC77BA"/>
    <w:rsid w:val="00FC7B08"/>
    <w:rsid w:val="00FD1634"/>
    <w:rsid w:val="00FD29D0"/>
    <w:rsid w:val="00FD2DC4"/>
    <w:rsid w:val="00FD374E"/>
    <w:rsid w:val="00FD427C"/>
    <w:rsid w:val="00FD4A3D"/>
    <w:rsid w:val="00FD6535"/>
    <w:rsid w:val="00FE1178"/>
    <w:rsid w:val="00FE2982"/>
    <w:rsid w:val="00FE2FE4"/>
    <w:rsid w:val="00FE36ED"/>
    <w:rsid w:val="00FE3E65"/>
    <w:rsid w:val="00FE4B1A"/>
    <w:rsid w:val="00FE5578"/>
    <w:rsid w:val="00FE5C5D"/>
    <w:rsid w:val="00FE6524"/>
    <w:rsid w:val="00FE6E42"/>
    <w:rsid w:val="00FE6F47"/>
    <w:rsid w:val="00FE6FE6"/>
    <w:rsid w:val="00FE7C6E"/>
    <w:rsid w:val="00FF023F"/>
    <w:rsid w:val="00FF0651"/>
    <w:rsid w:val="00FF0699"/>
    <w:rsid w:val="00FF2C8A"/>
    <w:rsid w:val="00FF62D0"/>
    <w:rsid w:val="00FF6992"/>
    <w:rsid w:val="00FF72AA"/>
    <w:rsid w:val="11B68952"/>
    <w:rsid w:val="2AA1C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04AFD"/>
  <w15:chartTrackingRefBased/>
  <w15:docId w15:val="{142196C4-C152-4C9C-861E-4A0FCFD7A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9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464"/>
  </w:style>
  <w:style w:type="paragraph" w:styleId="Footer">
    <w:name w:val="footer"/>
    <w:basedOn w:val="Normal"/>
    <w:link w:val="FooterChar"/>
    <w:uiPriority w:val="99"/>
    <w:unhideWhenUsed/>
    <w:rsid w:val="00A04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464"/>
  </w:style>
  <w:style w:type="character" w:styleId="PlaceholderText">
    <w:name w:val="Placeholder Text"/>
    <w:basedOn w:val="DefaultParagraphFont"/>
    <w:uiPriority w:val="99"/>
    <w:semiHidden/>
    <w:rsid w:val="00A04464"/>
    <w:rPr>
      <w:color w:val="808080"/>
    </w:rPr>
  </w:style>
  <w:style w:type="table" w:styleId="TableGrid">
    <w:name w:val="Table Grid"/>
    <w:basedOn w:val="TableNormal"/>
    <w:uiPriority w:val="39"/>
    <w:rsid w:val="00A04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3161"/>
    <w:rPr>
      <w:sz w:val="16"/>
      <w:szCs w:val="16"/>
    </w:rPr>
  </w:style>
  <w:style w:type="paragraph" w:styleId="CommentText">
    <w:name w:val="annotation text"/>
    <w:basedOn w:val="Normal"/>
    <w:link w:val="CommentTextChar"/>
    <w:uiPriority w:val="99"/>
    <w:unhideWhenUsed/>
    <w:rsid w:val="001C3161"/>
    <w:pPr>
      <w:spacing w:line="240" w:lineRule="auto"/>
    </w:pPr>
    <w:rPr>
      <w:sz w:val="20"/>
      <w:szCs w:val="20"/>
    </w:rPr>
  </w:style>
  <w:style w:type="character" w:customStyle="1" w:styleId="CommentTextChar">
    <w:name w:val="Comment Text Char"/>
    <w:basedOn w:val="DefaultParagraphFont"/>
    <w:link w:val="CommentText"/>
    <w:uiPriority w:val="99"/>
    <w:rsid w:val="001C3161"/>
    <w:rPr>
      <w:sz w:val="20"/>
      <w:szCs w:val="20"/>
    </w:rPr>
  </w:style>
  <w:style w:type="paragraph" w:styleId="CommentSubject">
    <w:name w:val="annotation subject"/>
    <w:basedOn w:val="CommentText"/>
    <w:next w:val="CommentText"/>
    <w:link w:val="CommentSubjectChar"/>
    <w:uiPriority w:val="99"/>
    <w:semiHidden/>
    <w:unhideWhenUsed/>
    <w:rsid w:val="001C3161"/>
    <w:rPr>
      <w:b/>
      <w:bCs/>
    </w:rPr>
  </w:style>
  <w:style w:type="character" w:customStyle="1" w:styleId="CommentSubjectChar">
    <w:name w:val="Comment Subject Char"/>
    <w:basedOn w:val="CommentTextChar"/>
    <w:link w:val="CommentSubject"/>
    <w:uiPriority w:val="99"/>
    <w:semiHidden/>
    <w:rsid w:val="001C3161"/>
    <w:rPr>
      <w:b/>
      <w:bCs/>
      <w:sz w:val="20"/>
      <w:szCs w:val="20"/>
    </w:rPr>
  </w:style>
  <w:style w:type="paragraph" w:styleId="BalloonText">
    <w:name w:val="Balloon Text"/>
    <w:basedOn w:val="Normal"/>
    <w:link w:val="BalloonTextChar"/>
    <w:uiPriority w:val="99"/>
    <w:semiHidden/>
    <w:unhideWhenUsed/>
    <w:rsid w:val="001C31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161"/>
    <w:rPr>
      <w:rFonts w:ascii="Segoe UI" w:hAnsi="Segoe UI" w:cs="Segoe UI"/>
      <w:sz w:val="18"/>
      <w:szCs w:val="18"/>
    </w:rPr>
  </w:style>
  <w:style w:type="paragraph" w:styleId="Revision">
    <w:name w:val="Revision"/>
    <w:hidden/>
    <w:uiPriority w:val="99"/>
    <w:semiHidden/>
    <w:rsid w:val="00782EEF"/>
    <w:pPr>
      <w:spacing w:after="0" w:line="240" w:lineRule="auto"/>
    </w:pPr>
  </w:style>
  <w:style w:type="paragraph" w:styleId="ListParagraph">
    <w:name w:val="List Paragraph"/>
    <w:basedOn w:val="Normal"/>
    <w:uiPriority w:val="34"/>
    <w:qFormat/>
    <w:rsid w:val="00E04819"/>
    <w:pPr>
      <w:ind w:left="720"/>
      <w:contextualSpacing/>
    </w:pPr>
  </w:style>
  <w:style w:type="character" w:styleId="Hyperlink">
    <w:name w:val="Hyperlink"/>
    <w:basedOn w:val="DefaultParagraphFont"/>
    <w:uiPriority w:val="99"/>
    <w:unhideWhenUsed/>
    <w:rsid w:val="00B02EC1"/>
    <w:rPr>
      <w:color w:val="0563C1"/>
      <w:u w:val="single"/>
    </w:rPr>
  </w:style>
  <w:style w:type="paragraph" w:customStyle="1" w:styleId="Tabletext">
    <w:name w:val="_Tabletext"/>
    <w:basedOn w:val="Normal"/>
    <w:next w:val="Normal"/>
    <w:rsid w:val="003C111A"/>
    <w:pPr>
      <w:spacing w:before="80" w:after="80" w:line="240" w:lineRule="atLeast"/>
    </w:pPr>
    <w:rPr>
      <w:rFonts w:ascii="Arial" w:hAnsi="Arial" w:cs="Times New Roman"/>
      <w:bCs/>
      <w:sz w:val="18"/>
      <w:szCs w:val="20"/>
      <w:lang w:val="en-AU"/>
    </w:rPr>
  </w:style>
  <w:style w:type="paragraph" w:customStyle="1" w:styleId="Default">
    <w:name w:val="Default"/>
    <w:rsid w:val="00A92F43"/>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E66A1D"/>
    <w:pPr>
      <w:spacing w:after="0" w:line="240" w:lineRule="auto"/>
    </w:pPr>
    <w:rPr>
      <w:sz w:val="20"/>
      <w:szCs w:val="20"/>
    </w:rPr>
  </w:style>
  <w:style w:type="character" w:customStyle="1" w:styleId="FootnoteTextChar">
    <w:name w:val="Footnote Text Char"/>
    <w:basedOn w:val="DefaultParagraphFont"/>
    <w:link w:val="FootnoteText"/>
    <w:uiPriority w:val="99"/>
    <w:rsid w:val="00E66A1D"/>
    <w:rPr>
      <w:sz w:val="20"/>
      <w:szCs w:val="20"/>
    </w:rPr>
  </w:style>
  <w:style w:type="character" w:styleId="FootnoteReference">
    <w:name w:val="footnote reference"/>
    <w:basedOn w:val="DefaultParagraphFont"/>
    <w:uiPriority w:val="99"/>
    <w:semiHidden/>
    <w:unhideWhenUsed/>
    <w:rsid w:val="00E66A1D"/>
    <w:rPr>
      <w:vertAlign w:val="superscript"/>
    </w:rPr>
  </w:style>
  <w:style w:type="character" w:styleId="UnresolvedMention">
    <w:name w:val="Unresolved Mention"/>
    <w:basedOn w:val="DefaultParagraphFont"/>
    <w:uiPriority w:val="99"/>
    <w:semiHidden/>
    <w:unhideWhenUsed/>
    <w:rsid w:val="00E97480"/>
    <w:rPr>
      <w:color w:val="605E5C"/>
      <w:shd w:val="clear" w:color="auto" w:fill="E1DFDD"/>
    </w:rPr>
  </w:style>
  <w:style w:type="paragraph" w:styleId="EndnoteText">
    <w:name w:val="endnote text"/>
    <w:basedOn w:val="Normal"/>
    <w:link w:val="EndnoteTextChar"/>
    <w:uiPriority w:val="99"/>
    <w:semiHidden/>
    <w:unhideWhenUsed/>
    <w:rsid w:val="000220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22019"/>
    <w:rPr>
      <w:sz w:val="20"/>
      <w:szCs w:val="20"/>
    </w:rPr>
  </w:style>
  <w:style w:type="character" w:styleId="EndnoteReference">
    <w:name w:val="endnote reference"/>
    <w:basedOn w:val="DefaultParagraphFont"/>
    <w:uiPriority w:val="99"/>
    <w:semiHidden/>
    <w:unhideWhenUsed/>
    <w:rsid w:val="00022019"/>
    <w:rPr>
      <w:vertAlign w:val="superscript"/>
    </w:rPr>
  </w:style>
  <w:style w:type="paragraph" w:styleId="BodyText3">
    <w:name w:val="Body Text 3"/>
    <w:basedOn w:val="Normal"/>
    <w:link w:val="BodyText3Char"/>
    <w:rsid w:val="005F2422"/>
    <w:pPr>
      <w:tabs>
        <w:tab w:val="left" w:pos="360"/>
      </w:tabs>
      <w:spacing w:after="0" w:line="218" w:lineRule="auto"/>
      <w:ind w:right="-36"/>
    </w:pPr>
    <w:rPr>
      <w:rFonts w:ascii="Wachovia Celeste" w:eastAsia="Times New Roman" w:hAnsi="Wachovia Celeste" w:cs="Times New Roman"/>
      <w:sz w:val="20"/>
      <w:szCs w:val="20"/>
    </w:rPr>
  </w:style>
  <w:style w:type="character" w:customStyle="1" w:styleId="BodyText3Char">
    <w:name w:val="Body Text 3 Char"/>
    <w:basedOn w:val="DefaultParagraphFont"/>
    <w:link w:val="BodyText3"/>
    <w:rsid w:val="005F2422"/>
    <w:rPr>
      <w:rFonts w:ascii="Wachovia Celeste" w:eastAsia="Times New Roman" w:hAnsi="Wachovia Celeste"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70955">
      <w:bodyDiv w:val="1"/>
      <w:marLeft w:val="0"/>
      <w:marRight w:val="0"/>
      <w:marTop w:val="0"/>
      <w:marBottom w:val="0"/>
      <w:divBdr>
        <w:top w:val="none" w:sz="0" w:space="0" w:color="auto"/>
        <w:left w:val="none" w:sz="0" w:space="0" w:color="auto"/>
        <w:bottom w:val="none" w:sz="0" w:space="0" w:color="auto"/>
        <w:right w:val="none" w:sz="0" w:space="0" w:color="auto"/>
      </w:divBdr>
    </w:div>
    <w:div w:id="133331612">
      <w:bodyDiv w:val="1"/>
      <w:marLeft w:val="0"/>
      <w:marRight w:val="0"/>
      <w:marTop w:val="0"/>
      <w:marBottom w:val="0"/>
      <w:divBdr>
        <w:top w:val="none" w:sz="0" w:space="0" w:color="auto"/>
        <w:left w:val="none" w:sz="0" w:space="0" w:color="auto"/>
        <w:bottom w:val="none" w:sz="0" w:space="0" w:color="auto"/>
        <w:right w:val="none" w:sz="0" w:space="0" w:color="auto"/>
      </w:divBdr>
    </w:div>
    <w:div w:id="182676028">
      <w:bodyDiv w:val="1"/>
      <w:marLeft w:val="0"/>
      <w:marRight w:val="0"/>
      <w:marTop w:val="0"/>
      <w:marBottom w:val="0"/>
      <w:divBdr>
        <w:top w:val="none" w:sz="0" w:space="0" w:color="auto"/>
        <w:left w:val="none" w:sz="0" w:space="0" w:color="auto"/>
        <w:bottom w:val="none" w:sz="0" w:space="0" w:color="auto"/>
        <w:right w:val="none" w:sz="0" w:space="0" w:color="auto"/>
      </w:divBdr>
    </w:div>
    <w:div w:id="325859582">
      <w:bodyDiv w:val="1"/>
      <w:marLeft w:val="0"/>
      <w:marRight w:val="0"/>
      <w:marTop w:val="0"/>
      <w:marBottom w:val="0"/>
      <w:divBdr>
        <w:top w:val="none" w:sz="0" w:space="0" w:color="auto"/>
        <w:left w:val="none" w:sz="0" w:space="0" w:color="auto"/>
        <w:bottom w:val="none" w:sz="0" w:space="0" w:color="auto"/>
        <w:right w:val="none" w:sz="0" w:space="0" w:color="auto"/>
      </w:divBdr>
    </w:div>
    <w:div w:id="384449988">
      <w:bodyDiv w:val="1"/>
      <w:marLeft w:val="0"/>
      <w:marRight w:val="0"/>
      <w:marTop w:val="0"/>
      <w:marBottom w:val="0"/>
      <w:divBdr>
        <w:top w:val="none" w:sz="0" w:space="0" w:color="auto"/>
        <w:left w:val="none" w:sz="0" w:space="0" w:color="auto"/>
        <w:bottom w:val="none" w:sz="0" w:space="0" w:color="auto"/>
        <w:right w:val="none" w:sz="0" w:space="0" w:color="auto"/>
      </w:divBdr>
    </w:div>
    <w:div w:id="515340023">
      <w:bodyDiv w:val="1"/>
      <w:marLeft w:val="0"/>
      <w:marRight w:val="0"/>
      <w:marTop w:val="0"/>
      <w:marBottom w:val="0"/>
      <w:divBdr>
        <w:top w:val="none" w:sz="0" w:space="0" w:color="auto"/>
        <w:left w:val="none" w:sz="0" w:space="0" w:color="auto"/>
        <w:bottom w:val="none" w:sz="0" w:space="0" w:color="auto"/>
        <w:right w:val="none" w:sz="0" w:space="0" w:color="auto"/>
      </w:divBdr>
      <w:divsChild>
        <w:div w:id="1448236355">
          <w:marLeft w:val="0"/>
          <w:marRight w:val="0"/>
          <w:marTop w:val="0"/>
          <w:marBottom w:val="0"/>
          <w:divBdr>
            <w:top w:val="none" w:sz="0" w:space="0" w:color="auto"/>
            <w:left w:val="none" w:sz="0" w:space="0" w:color="auto"/>
            <w:bottom w:val="none" w:sz="0" w:space="0" w:color="auto"/>
            <w:right w:val="none" w:sz="0" w:space="0" w:color="auto"/>
          </w:divBdr>
          <w:divsChild>
            <w:div w:id="1797408315">
              <w:marLeft w:val="0"/>
              <w:marRight w:val="0"/>
              <w:marTop w:val="0"/>
              <w:marBottom w:val="0"/>
              <w:divBdr>
                <w:top w:val="none" w:sz="0" w:space="0" w:color="auto"/>
                <w:left w:val="none" w:sz="0" w:space="0" w:color="auto"/>
                <w:bottom w:val="none" w:sz="0" w:space="0" w:color="auto"/>
                <w:right w:val="none" w:sz="0" w:space="0" w:color="auto"/>
              </w:divBdr>
              <w:divsChild>
                <w:div w:id="941185877">
                  <w:marLeft w:val="0"/>
                  <w:marRight w:val="0"/>
                  <w:marTop w:val="0"/>
                  <w:marBottom w:val="0"/>
                  <w:divBdr>
                    <w:top w:val="none" w:sz="0" w:space="0" w:color="auto"/>
                    <w:left w:val="none" w:sz="0" w:space="0" w:color="auto"/>
                    <w:bottom w:val="none" w:sz="0" w:space="0" w:color="auto"/>
                    <w:right w:val="none" w:sz="0" w:space="0" w:color="auto"/>
                  </w:divBdr>
                  <w:divsChild>
                    <w:div w:id="1028486654">
                      <w:marLeft w:val="0"/>
                      <w:marRight w:val="0"/>
                      <w:marTop w:val="0"/>
                      <w:marBottom w:val="0"/>
                      <w:divBdr>
                        <w:top w:val="none" w:sz="0" w:space="0" w:color="auto"/>
                        <w:left w:val="none" w:sz="0" w:space="0" w:color="auto"/>
                        <w:bottom w:val="none" w:sz="0" w:space="0" w:color="auto"/>
                        <w:right w:val="none" w:sz="0" w:space="0" w:color="auto"/>
                      </w:divBdr>
                      <w:divsChild>
                        <w:div w:id="54290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4225">
      <w:bodyDiv w:val="1"/>
      <w:marLeft w:val="0"/>
      <w:marRight w:val="0"/>
      <w:marTop w:val="0"/>
      <w:marBottom w:val="0"/>
      <w:divBdr>
        <w:top w:val="none" w:sz="0" w:space="0" w:color="auto"/>
        <w:left w:val="none" w:sz="0" w:space="0" w:color="auto"/>
        <w:bottom w:val="none" w:sz="0" w:space="0" w:color="auto"/>
        <w:right w:val="none" w:sz="0" w:space="0" w:color="auto"/>
      </w:divBdr>
    </w:div>
    <w:div w:id="566037164">
      <w:bodyDiv w:val="1"/>
      <w:marLeft w:val="0"/>
      <w:marRight w:val="0"/>
      <w:marTop w:val="0"/>
      <w:marBottom w:val="0"/>
      <w:divBdr>
        <w:top w:val="none" w:sz="0" w:space="0" w:color="auto"/>
        <w:left w:val="none" w:sz="0" w:space="0" w:color="auto"/>
        <w:bottom w:val="none" w:sz="0" w:space="0" w:color="auto"/>
        <w:right w:val="none" w:sz="0" w:space="0" w:color="auto"/>
      </w:divBdr>
    </w:div>
    <w:div w:id="677467738">
      <w:bodyDiv w:val="1"/>
      <w:marLeft w:val="0"/>
      <w:marRight w:val="0"/>
      <w:marTop w:val="0"/>
      <w:marBottom w:val="0"/>
      <w:divBdr>
        <w:top w:val="none" w:sz="0" w:space="0" w:color="auto"/>
        <w:left w:val="none" w:sz="0" w:space="0" w:color="auto"/>
        <w:bottom w:val="none" w:sz="0" w:space="0" w:color="auto"/>
        <w:right w:val="none" w:sz="0" w:space="0" w:color="auto"/>
      </w:divBdr>
    </w:div>
    <w:div w:id="679047858">
      <w:bodyDiv w:val="1"/>
      <w:marLeft w:val="0"/>
      <w:marRight w:val="0"/>
      <w:marTop w:val="0"/>
      <w:marBottom w:val="0"/>
      <w:divBdr>
        <w:top w:val="none" w:sz="0" w:space="0" w:color="auto"/>
        <w:left w:val="none" w:sz="0" w:space="0" w:color="auto"/>
        <w:bottom w:val="none" w:sz="0" w:space="0" w:color="auto"/>
        <w:right w:val="none" w:sz="0" w:space="0" w:color="auto"/>
      </w:divBdr>
    </w:div>
    <w:div w:id="908884300">
      <w:bodyDiv w:val="1"/>
      <w:marLeft w:val="0"/>
      <w:marRight w:val="0"/>
      <w:marTop w:val="0"/>
      <w:marBottom w:val="0"/>
      <w:divBdr>
        <w:top w:val="none" w:sz="0" w:space="0" w:color="auto"/>
        <w:left w:val="none" w:sz="0" w:space="0" w:color="auto"/>
        <w:bottom w:val="none" w:sz="0" w:space="0" w:color="auto"/>
        <w:right w:val="none" w:sz="0" w:space="0" w:color="auto"/>
      </w:divBdr>
    </w:div>
    <w:div w:id="946690572">
      <w:bodyDiv w:val="1"/>
      <w:marLeft w:val="0"/>
      <w:marRight w:val="0"/>
      <w:marTop w:val="0"/>
      <w:marBottom w:val="0"/>
      <w:divBdr>
        <w:top w:val="none" w:sz="0" w:space="0" w:color="auto"/>
        <w:left w:val="none" w:sz="0" w:space="0" w:color="auto"/>
        <w:bottom w:val="none" w:sz="0" w:space="0" w:color="auto"/>
        <w:right w:val="none" w:sz="0" w:space="0" w:color="auto"/>
      </w:divBdr>
    </w:div>
    <w:div w:id="970280346">
      <w:bodyDiv w:val="1"/>
      <w:marLeft w:val="0"/>
      <w:marRight w:val="0"/>
      <w:marTop w:val="0"/>
      <w:marBottom w:val="0"/>
      <w:divBdr>
        <w:top w:val="none" w:sz="0" w:space="0" w:color="auto"/>
        <w:left w:val="none" w:sz="0" w:space="0" w:color="auto"/>
        <w:bottom w:val="none" w:sz="0" w:space="0" w:color="auto"/>
        <w:right w:val="none" w:sz="0" w:space="0" w:color="auto"/>
      </w:divBdr>
    </w:div>
    <w:div w:id="1121649127">
      <w:bodyDiv w:val="1"/>
      <w:marLeft w:val="0"/>
      <w:marRight w:val="0"/>
      <w:marTop w:val="0"/>
      <w:marBottom w:val="0"/>
      <w:divBdr>
        <w:top w:val="none" w:sz="0" w:space="0" w:color="auto"/>
        <w:left w:val="none" w:sz="0" w:space="0" w:color="auto"/>
        <w:bottom w:val="none" w:sz="0" w:space="0" w:color="auto"/>
        <w:right w:val="none" w:sz="0" w:space="0" w:color="auto"/>
      </w:divBdr>
    </w:div>
    <w:div w:id="1178041417">
      <w:bodyDiv w:val="1"/>
      <w:marLeft w:val="0"/>
      <w:marRight w:val="0"/>
      <w:marTop w:val="0"/>
      <w:marBottom w:val="0"/>
      <w:divBdr>
        <w:top w:val="none" w:sz="0" w:space="0" w:color="auto"/>
        <w:left w:val="none" w:sz="0" w:space="0" w:color="auto"/>
        <w:bottom w:val="none" w:sz="0" w:space="0" w:color="auto"/>
        <w:right w:val="none" w:sz="0" w:space="0" w:color="auto"/>
      </w:divBdr>
    </w:div>
    <w:div w:id="1269460227">
      <w:bodyDiv w:val="1"/>
      <w:marLeft w:val="0"/>
      <w:marRight w:val="0"/>
      <w:marTop w:val="0"/>
      <w:marBottom w:val="0"/>
      <w:divBdr>
        <w:top w:val="none" w:sz="0" w:space="0" w:color="auto"/>
        <w:left w:val="none" w:sz="0" w:space="0" w:color="auto"/>
        <w:bottom w:val="none" w:sz="0" w:space="0" w:color="auto"/>
        <w:right w:val="none" w:sz="0" w:space="0" w:color="auto"/>
      </w:divBdr>
    </w:div>
    <w:div w:id="1345789374">
      <w:bodyDiv w:val="1"/>
      <w:marLeft w:val="0"/>
      <w:marRight w:val="0"/>
      <w:marTop w:val="0"/>
      <w:marBottom w:val="0"/>
      <w:divBdr>
        <w:top w:val="none" w:sz="0" w:space="0" w:color="auto"/>
        <w:left w:val="none" w:sz="0" w:space="0" w:color="auto"/>
        <w:bottom w:val="none" w:sz="0" w:space="0" w:color="auto"/>
        <w:right w:val="none" w:sz="0" w:space="0" w:color="auto"/>
      </w:divBdr>
    </w:div>
    <w:div w:id="1535801231">
      <w:bodyDiv w:val="1"/>
      <w:marLeft w:val="0"/>
      <w:marRight w:val="0"/>
      <w:marTop w:val="0"/>
      <w:marBottom w:val="0"/>
      <w:divBdr>
        <w:top w:val="none" w:sz="0" w:space="0" w:color="auto"/>
        <w:left w:val="none" w:sz="0" w:space="0" w:color="auto"/>
        <w:bottom w:val="none" w:sz="0" w:space="0" w:color="auto"/>
        <w:right w:val="none" w:sz="0" w:space="0" w:color="auto"/>
      </w:divBdr>
      <w:divsChild>
        <w:div w:id="867764657">
          <w:marLeft w:val="0"/>
          <w:marRight w:val="0"/>
          <w:marTop w:val="0"/>
          <w:marBottom w:val="0"/>
          <w:divBdr>
            <w:top w:val="none" w:sz="0" w:space="0" w:color="auto"/>
            <w:left w:val="none" w:sz="0" w:space="0" w:color="auto"/>
            <w:bottom w:val="none" w:sz="0" w:space="0" w:color="auto"/>
            <w:right w:val="none" w:sz="0" w:space="0" w:color="auto"/>
          </w:divBdr>
          <w:divsChild>
            <w:div w:id="1534927072">
              <w:marLeft w:val="0"/>
              <w:marRight w:val="0"/>
              <w:marTop w:val="0"/>
              <w:marBottom w:val="0"/>
              <w:divBdr>
                <w:top w:val="none" w:sz="0" w:space="0" w:color="auto"/>
                <w:left w:val="none" w:sz="0" w:space="0" w:color="auto"/>
                <w:bottom w:val="none" w:sz="0" w:space="0" w:color="auto"/>
                <w:right w:val="none" w:sz="0" w:space="0" w:color="auto"/>
              </w:divBdr>
              <w:divsChild>
                <w:div w:id="521627087">
                  <w:marLeft w:val="0"/>
                  <w:marRight w:val="0"/>
                  <w:marTop w:val="0"/>
                  <w:marBottom w:val="0"/>
                  <w:divBdr>
                    <w:top w:val="none" w:sz="0" w:space="0" w:color="auto"/>
                    <w:left w:val="none" w:sz="0" w:space="0" w:color="auto"/>
                    <w:bottom w:val="none" w:sz="0" w:space="0" w:color="auto"/>
                    <w:right w:val="none" w:sz="0" w:space="0" w:color="auto"/>
                  </w:divBdr>
                  <w:divsChild>
                    <w:div w:id="2075270560">
                      <w:marLeft w:val="0"/>
                      <w:marRight w:val="0"/>
                      <w:marTop w:val="0"/>
                      <w:marBottom w:val="0"/>
                      <w:divBdr>
                        <w:top w:val="none" w:sz="0" w:space="0" w:color="auto"/>
                        <w:left w:val="none" w:sz="0" w:space="0" w:color="auto"/>
                        <w:bottom w:val="none" w:sz="0" w:space="0" w:color="auto"/>
                        <w:right w:val="none" w:sz="0" w:space="0" w:color="auto"/>
                      </w:divBdr>
                      <w:divsChild>
                        <w:div w:id="19092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550300">
      <w:bodyDiv w:val="1"/>
      <w:marLeft w:val="0"/>
      <w:marRight w:val="0"/>
      <w:marTop w:val="0"/>
      <w:marBottom w:val="0"/>
      <w:divBdr>
        <w:top w:val="none" w:sz="0" w:space="0" w:color="auto"/>
        <w:left w:val="none" w:sz="0" w:space="0" w:color="auto"/>
        <w:bottom w:val="none" w:sz="0" w:space="0" w:color="auto"/>
        <w:right w:val="none" w:sz="0" w:space="0" w:color="auto"/>
      </w:divBdr>
    </w:div>
    <w:div w:id="1633171984">
      <w:bodyDiv w:val="1"/>
      <w:marLeft w:val="0"/>
      <w:marRight w:val="0"/>
      <w:marTop w:val="0"/>
      <w:marBottom w:val="0"/>
      <w:divBdr>
        <w:top w:val="none" w:sz="0" w:space="0" w:color="auto"/>
        <w:left w:val="none" w:sz="0" w:space="0" w:color="auto"/>
        <w:bottom w:val="none" w:sz="0" w:space="0" w:color="auto"/>
        <w:right w:val="none" w:sz="0" w:space="0" w:color="auto"/>
      </w:divBdr>
    </w:div>
    <w:div w:id="1643001818">
      <w:bodyDiv w:val="1"/>
      <w:marLeft w:val="0"/>
      <w:marRight w:val="0"/>
      <w:marTop w:val="0"/>
      <w:marBottom w:val="0"/>
      <w:divBdr>
        <w:top w:val="none" w:sz="0" w:space="0" w:color="auto"/>
        <w:left w:val="none" w:sz="0" w:space="0" w:color="auto"/>
        <w:bottom w:val="none" w:sz="0" w:space="0" w:color="auto"/>
        <w:right w:val="none" w:sz="0" w:space="0" w:color="auto"/>
      </w:divBdr>
    </w:div>
    <w:div w:id="1734810853">
      <w:bodyDiv w:val="1"/>
      <w:marLeft w:val="0"/>
      <w:marRight w:val="0"/>
      <w:marTop w:val="0"/>
      <w:marBottom w:val="0"/>
      <w:divBdr>
        <w:top w:val="none" w:sz="0" w:space="0" w:color="auto"/>
        <w:left w:val="none" w:sz="0" w:space="0" w:color="auto"/>
        <w:bottom w:val="none" w:sz="0" w:space="0" w:color="auto"/>
        <w:right w:val="none" w:sz="0" w:space="0" w:color="auto"/>
      </w:divBdr>
    </w:div>
    <w:div w:id="1747799351">
      <w:bodyDiv w:val="1"/>
      <w:marLeft w:val="0"/>
      <w:marRight w:val="0"/>
      <w:marTop w:val="0"/>
      <w:marBottom w:val="0"/>
      <w:divBdr>
        <w:top w:val="none" w:sz="0" w:space="0" w:color="auto"/>
        <w:left w:val="none" w:sz="0" w:space="0" w:color="auto"/>
        <w:bottom w:val="none" w:sz="0" w:space="0" w:color="auto"/>
        <w:right w:val="none" w:sz="0" w:space="0" w:color="auto"/>
      </w:divBdr>
    </w:div>
    <w:div w:id="1871255486">
      <w:bodyDiv w:val="1"/>
      <w:marLeft w:val="0"/>
      <w:marRight w:val="0"/>
      <w:marTop w:val="0"/>
      <w:marBottom w:val="0"/>
      <w:divBdr>
        <w:top w:val="none" w:sz="0" w:space="0" w:color="auto"/>
        <w:left w:val="none" w:sz="0" w:space="0" w:color="auto"/>
        <w:bottom w:val="none" w:sz="0" w:space="0" w:color="auto"/>
        <w:right w:val="none" w:sz="0" w:space="0" w:color="auto"/>
      </w:divBdr>
    </w:div>
    <w:div w:id="1906647160">
      <w:bodyDiv w:val="1"/>
      <w:marLeft w:val="0"/>
      <w:marRight w:val="0"/>
      <w:marTop w:val="0"/>
      <w:marBottom w:val="0"/>
      <w:divBdr>
        <w:top w:val="none" w:sz="0" w:space="0" w:color="auto"/>
        <w:left w:val="none" w:sz="0" w:space="0" w:color="auto"/>
        <w:bottom w:val="none" w:sz="0" w:space="0" w:color="auto"/>
        <w:right w:val="none" w:sz="0" w:space="0" w:color="auto"/>
      </w:divBdr>
    </w:div>
    <w:div w:id="1906993010">
      <w:bodyDiv w:val="1"/>
      <w:marLeft w:val="0"/>
      <w:marRight w:val="0"/>
      <w:marTop w:val="0"/>
      <w:marBottom w:val="0"/>
      <w:divBdr>
        <w:top w:val="none" w:sz="0" w:space="0" w:color="auto"/>
        <w:left w:val="none" w:sz="0" w:space="0" w:color="auto"/>
        <w:bottom w:val="none" w:sz="0" w:space="0" w:color="auto"/>
        <w:right w:val="none" w:sz="0" w:space="0" w:color="auto"/>
      </w:divBdr>
    </w:div>
    <w:div w:id="1968312675">
      <w:bodyDiv w:val="1"/>
      <w:marLeft w:val="0"/>
      <w:marRight w:val="0"/>
      <w:marTop w:val="0"/>
      <w:marBottom w:val="0"/>
      <w:divBdr>
        <w:top w:val="none" w:sz="0" w:space="0" w:color="auto"/>
        <w:left w:val="none" w:sz="0" w:space="0" w:color="auto"/>
        <w:bottom w:val="none" w:sz="0" w:space="0" w:color="auto"/>
        <w:right w:val="none" w:sz="0" w:space="0" w:color="auto"/>
      </w:divBdr>
    </w:div>
    <w:div w:id="2034107945">
      <w:bodyDiv w:val="1"/>
      <w:marLeft w:val="0"/>
      <w:marRight w:val="0"/>
      <w:marTop w:val="0"/>
      <w:marBottom w:val="0"/>
      <w:divBdr>
        <w:top w:val="none" w:sz="0" w:space="0" w:color="auto"/>
        <w:left w:val="none" w:sz="0" w:space="0" w:color="auto"/>
        <w:bottom w:val="none" w:sz="0" w:space="0" w:color="auto"/>
        <w:right w:val="none" w:sz="0" w:space="0" w:color="auto"/>
      </w:divBdr>
    </w:div>
    <w:div w:id="204829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newyorkfed.org/markets/reference-rates/sofr-averages-and-inde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newyorkfed.org/markets/treasury-repo-reference-rates-information"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27BA42C1714398BFC7EB4CEE9A649E"/>
        <w:category>
          <w:name w:val="General"/>
          <w:gallery w:val="placeholder"/>
        </w:category>
        <w:types>
          <w:type w:val="bbPlcHdr"/>
        </w:types>
        <w:behaviors>
          <w:behavior w:val="content"/>
        </w:behaviors>
        <w:guid w:val="{EFA2D8B7-8962-4ACB-BA93-74A792647697}"/>
      </w:docPartPr>
      <w:docPartBody>
        <w:p w:rsidR="00A52EEC" w:rsidRDefault="00E808A5" w:rsidP="00E808A5">
          <w:pPr>
            <w:pStyle w:val="6127BA42C1714398BFC7EB4CEE9A649E17"/>
          </w:pPr>
          <w:r w:rsidRPr="008A61F3">
            <w:rPr>
              <w:rStyle w:val="PlaceholderText"/>
              <w:rFonts w:ascii="Arial" w:hAnsi="Arial" w:cs="Arial"/>
              <w:color w:val="7F7F7F" w:themeColor="text1" w:themeTint="80"/>
              <w:sz w:val="20"/>
              <w:szCs w:val="20"/>
            </w:rPr>
            <w:t>Choose an item.</w:t>
          </w:r>
        </w:p>
      </w:docPartBody>
    </w:docPart>
    <w:docPart>
      <w:docPartPr>
        <w:name w:val="06DC207E3A4E4FF28F285FEEC7B97479"/>
        <w:category>
          <w:name w:val="General"/>
          <w:gallery w:val="placeholder"/>
        </w:category>
        <w:types>
          <w:type w:val="bbPlcHdr"/>
        </w:types>
        <w:behaviors>
          <w:behavior w:val="content"/>
        </w:behaviors>
        <w:guid w:val="{E57D68FD-E6F4-4902-9F2E-3C15A540F921}"/>
      </w:docPartPr>
      <w:docPartBody>
        <w:p w:rsidR="005E65E7" w:rsidRDefault="00E808A5" w:rsidP="00E808A5">
          <w:pPr>
            <w:pStyle w:val="06DC207E3A4E4FF28F285FEEC7B9747916"/>
          </w:pPr>
          <w:r w:rsidRPr="008A61F3">
            <w:rPr>
              <w:rStyle w:val="PlaceholderText"/>
              <w:rFonts w:ascii="Arial" w:hAnsi="Arial" w:cs="Arial"/>
              <w:color w:val="7F7F7F" w:themeColor="text1" w:themeTint="80"/>
              <w:sz w:val="20"/>
              <w:szCs w:val="20"/>
            </w:rPr>
            <w:t>Choose an item.</w:t>
          </w:r>
        </w:p>
      </w:docPartBody>
    </w:docPart>
    <w:docPart>
      <w:docPartPr>
        <w:name w:val="E1BCBB3DDC7B477EAA7B7B332AE66FFD"/>
        <w:category>
          <w:name w:val="General"/>
          <w:gallery w:val="placeholder"/>
        </w:category>
        <w:types>
          <w:type w:val="bbPlcHdr"/>
        </w:types>
        <w:behaviors>
          <w:behavior w:val="content"/>
        </w:behaviors>
        <w:guid w:val="{BB204F65-54C8-477F-9B05-C2A10C2BD54F}"/>
      </w:docPartPr>
      <w:docPartBody>
        <w:p w:rsidR="00A37C31" w:rsidRDefault="00A37C31" w:rsidP="00A37C31">
          <w:pPr>
            <w:pStyle w:val="E1BCBB3DDC7B477EAA7B7B332AE66FFD"/>
          </w:pPr>
          <w:r w:rsidRPr="008A61F3">
            <w:rPr>
              <w:rStyle w:val="PlaceholderText"/>
              <w:rFonts w:ascii="Arial" w:hAnsi="Arial" w:cs="Arial"/>
              <w:color w:val="7F7F7F" w:themeColor="text1" w:themeTint="80"/>
              <w:sz w:val="20"/>
              <w:szCs w:val="20"/>
            </w:rPr>
            <w:t>Choose an item.</w:t>
          </w:r>
        </w:p>
      </w:docPartBody>
    </w:docPart>
    <w:docPart>
      <w:docPartPr>
        <w:name w:val="1CF892A959CC4F3487439000025749C1"/>
        <w:category>
          <w:name w:val="General"/>
          <w:gallery w:val="placeholder"/>
        </w:category>
        <w:types>
          <w:type w:val="bbPlcHdr"/>
        </w:types>
        <w:behaviors>
          <w:behavior w:val="content"/>
        </w:behaviors>
        <w:guid w:val="{DECC39BE-7D80-4D5A-BFEE-545941022B3E}"/>
      </w:docPartPr>
      <w:docPartBody>
        <w:p w:rsidR="00A37C31" w:rsidRDefault="00A37C31" w:rsidP="00A37C31">
          <w:pPr>
            <w:pStyle w:val="1CF892A959CC4F3487439000025749C1"/>
          </w:pPr>
          <w:r w:rsidRPr="00754B0B">
            <w:rPr>
              <w:rStyle w:val="PlaceholderText"/>
              <w:rFonts w:ascii="Arial" w:hAnsi="Arial" w:cs="Arial"/>
              <w:color w:val="7F7F7F" w:themeColor="text1" w:themeTint="80"/>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achovia Celeste">
    <w:altName w:val="Times New Roman"/>
    <w:charset w:val="00"/>
    <w:family w:val="roman"/>
    <w:pitch w:val="variable"/>
    <w:sig w:usb0="00000000" w:usb1="00000040" w:usb2="00000000" w:usb3="00000000" w:csb0="000000BF" w:csb1="00000000"/>
  </w:font>
  <w:font w:name="Yu Mincho">
    <w:altName w:val="游明朝"/>
    <w:charset w:val="80"/>
    <w:family w:val="roman"/>
    <w:pitch w:val="variable"/>
    <w:sig w:usb0="800002E7" w:usb1="2AC7FCFF" w:usb2="00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lls Fargo Sans">
    <w:altName w:val="Cambria"/>
    <w:charset w:val="00"/>
    <w:family w:val="swiss"/>
    <w:pitch w:val="variable"/>
    <w:sig w:usb0="A000006F" w:usb1="4000004B" w:usb2="00000000" w:usb3="00000000" w:csb0="00000013"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738"/>
    <w:rsid w:val="00012A38"/>
    <w:rsid w:val="00032BBD"/>
    <w:rsid w:val="000B193B"/>
    <w:rsid w:val="001474AE"/>
    <w:rsid w:val="00151004"/>
    <w:rsid w:val="00164D18"/>
    <w:rsid w:val="00224788"/>
    <w:rsid w:val="0024550B"/>
    <w:rsid w:val="002648C6"/>
    <w:rsid w:val="00275602"/>
    <w:rsid w:val="00292E89"/>
    <w:rsid w:val="002D752B"/>
    <w:rsid w:val="00306EEE"/>
    <w:rsid w:val="00307AE7"/>
    <w:rsid w:val="00311904"/>
    <w:rsid w:val="00316A09"/>
    <w:rsid w:val="003405C8"/>
    <w:rsid w:val="00370847"/>
    <w:rsid w:val="003A12C8"/>
    <w:rsid w:val="003D30AF"/>
    <w:rsid w:val="00490101"/>
    <w:rsid w:val="004D5717"/>
    <w:rsid w:val="004F45D2"/>
    <w:rsid w:val="00541C6B"/>
    <w:rsid w:val="0058398E"/>
    <w:rsid w:val="005B109C"/>
    <w:rsid w:val="005E65E7"/>
    <w:rsid w:val="006011F6"/>
    <w:rsid w:val="00612971"/>
    <w:rsid w:val="00642C96"/>
    <w:rsid w:val="00657738"/>
    <w:rsid w:val="00694E78"/>
    <w:rsid w:val="00700504"/>
    <w:rsid w:val="0071792F"/>
    <w:rsid w:val="007663AE"/>
    <w:rsid w:val="007C6844"/>
    <w:rsid w:val="00827DA2"/>
    <w:rsid w:val="00836428"/>
    <w:rsid w:val="00891D2A"/>
    <w:rsid w:val="00897912"/>
    <w:rsid w:val="008C6F48"/>
    <w:rsid w:val="008D674A"/>
    <w:rsid w:val="00906979"/>
    <w:rsid w:val="00913847"/>
    <w:rsid w:val="00937BD6"/>
    <w:rsid w:val="009460FF"/>
    <w:rsid w:val="00994A28"/>
    <w:rsid w:val="00994ACC"/>
    <w:rsid w:val="009B6B14"/>
    <w:rsid w:val="009D7EDA"/>
    <w:rsid w:val="009E4A2B"/>
    <w:rsid w:val="00A37C31"/>
    <w:rsid w:val="00A52EEC"/>
    <w:rsid w:val="00A6703A"/>
    <w:rsid w:val="00A85BC7"/>
    <w:rsid w:val="00AE09A9"/>
    <w:rsid w:val="00B04DB1"/>
    <w:rsid w:val="00B123E2"/>
    <w:rsid w:val="00B52661"/>
    <w:rsid w:val="00B775A6"/>
    <w:rsid w:val="00B84DB5"/>
    <w:rsid w:val="00B879D3"/>
    <w:rsid w:val="00BA0E72"/>
    <w:rsid w:val="00BA5692"/>
    <w:rsid w:val="00BB77BE"/>
    <w:rsid w:val="00BD2F11"/>
    <w:rsid w:val="00BE7902"/>
    <w:rsid w:val="00C4213E"/>
    <w:rsid w:val="00C77EDD"/>
    <w:rsid w:val="00C9718B"/>
    <w:rsid w:val="00CA6A6D"/>
    <w:rsid w:val="00CB0DB7"/>
    <w:rsid w:val="00CD2805"/>
    <w:rsid w:val="00CD6472"/>
    <w:rsid w:val="00CE5A19"/>
    <w:rsid w:val="00CE7A22"/>
    <w:rsid w:val="00CF37CB"/>
    <w:rsid w:val="00D0482A"/>
    <w:rsid w:val="00D7155D"/>
    <w:rsid w:val="00D77676"/>
    <w:rsid w:val="00D82BF7"/>
    <w:rsid w:val="00DA13D9"/>
    <w:rsid w:val="00DB2930"/>
    <w:rsid w:val="00E02A9C"/>
    <w:rsid w:val="00E0793C"/>
    <w:rsid w:val="00E36A18"/>
    <w:rsid w:val="00E42D28"/>
    <w:rsid w:val="00E57E92"/>
    <w:rsid w:val="00E63335"/>
    <w:rsid w:val="00E808A5"/>
    <w:rsid w:val="00EE5C44"/>
    <w:rsid w:val="00F559BA"/>
    <w:rsid w:val="00F573DE"/>
    <w:rsid w:val="00F63785"/>
    <w:rsid w:val="00F77219"/>
    <w:rsid w:val="00FA73AD"/>
    <w:rsid w:val="00FF4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7C31"/>
    <w:rPr>
      <w:color w:val="808080"/>
    </w:rPr>
  </w:style>
  <w:style w:type="paragraph" w:customStyle="1" w:styleId="6127BA42C1714398BFC7EB4CEE9A649E17">
    <w:name w:val="6127BA42C1714398BFC7EB4CEE9A649E17"/>
    <w:rsid w:val="00E808A5"/>
    <w:rPr>
      <w:rFonts w:eastAsiaTheme="minorHAnsi"/>
    </w:rPr>
  </w:style>
  <w:style w:type="paragraph" w:customStyle="1" w:styleId="06DC207E3A4E4FF28F285FEEC7B9747916">
    <w:name w:val="06DC207E3A4E4FF28F285FEEC7B9747916"/>
    <w:rsid w:val="00E808A5"/>
    <w:rPr>
      <w:rFonts w:eastAsiaTheme="minorHAnsi"/>
    </w:rPr>
  </w:style>
  <w:style w:type="paragraph" w:customStyle="1" w:styleId="E1BCBB3DDC7B477EAA7B7B332AE66FFD">
    <w:name w:val="E1BCBB3DDC7B477EAA7B7B332AE66FFD"/>
    <w:rsid w:val="00A37C31"/>
    <w:rPr>
      <w:kern w:val="2"/>
      <w:lang w:eastAsia="ja-JP"/>
      <w14:ligatures w14:val="standardContextual"/>
    </w:rPr>
  </w:style>
  <w:style w:type="paragraph" w:customStyle="1" w:styleId="1CF892A959CC4F3487439000025749C1">
    <w:name w:val="1CF892A959CC4F3487439000025749C1"/>
    <w:rsid w:val="00A37C31"/>
    <w:rPr>
      <w:kern w:val="2"/>
      <w:lang w:eastAsia="ja-JP"/>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2a6c10d7-b926-4fc0-945e-3cbf5049f6bd" ContentTypeId="0x010100E5322611B3EDC84DA11FE54B39A09DF701" PreviousValue="false" LastSyncTimeStamp="2022-08-23T22:53:20.47Z"/>
</file>

<file path=customXml/item2.xml><?xml version="1.0" encoding="utf-8"?>
<?mso-contentType ?>
<spe:Receivers xmlns:spe="http://schemas.microsoft.com/sharepoint/event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IFCDocument" ma:contentTypeID="0x010100E5322611B3EDC84DA11FE54B39A09DF70100A7EBE4B42FFFC24B8FBFFC9EB81678ED" ma:contentTypeVersion="5" ma:contentTypeDescription="" ma:contentTypeScope="" ma:versionID="6035bcd3fd824f0926d8fdb8908e0163">
  <xsd:schema xmlns:xsd="http://www.w3.org/2001/XMLSchema" xmlns:xs="http://www.w3.org/2001/XMLSchema" xmlns:p="http://schemas.microsoft.com/office/2006/metadata/properties" xmlns:ns2="3e02667f-0271-471b-bd6e-11a2e16def1d" targetNamespace="http://schemas.microsoft.com/office/2006/metadata/properties" ma:root="true" ma:fieldsID="9152a79b476069772ef9472e88fe9ca2" ns2:_="">
    <xsd:import namespace="3e02667f-0271-471b-bd6e-11a2e16def1d"/>
    <xsd:element name="properties">
      <xsd:complexType>
        <xsd:sequence>
          <xsd:element name="documentManagement">
            <xsd:complexType>
              <xsd:all>
                <xsd:element ref="ns2:ifc_author" minOccurs="0"/>
                <xsd:element ref="ns2:WBDocs_Document_Date" minOccurs="0"/>
                <xsd:element ref="ns2:ifc_informationclassification" minOccurs="0"/>
                <xsd:element ref="ns2:ifc_abstract" minOccurs="0"/>
                <xsd:element ref="ns2:_dlc_DocId" minOccurs="0"/>
                <xsd:element ref="ns2:_dlc_DocIdUrl" minOccurs="0"/>
                <xsd:element ref="ns2:_dlc_DocIdPersistId" minOccurs="0"/>
                <xsd:element ref="ns2:n190ff974a17438d91e6dfe77ffd38e5"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ifc_author" ma:index="2" nillable="true" ma:displayName="Author" ma:internalName="ifc_author">
      <xsd:simpleType>
        <xsd:restriction base="dms:Text"/>
      </xsd:simpleType>
    </xsd:element>
    <xsd:element name="WBDocs_Document_Date" ma:index="3" nillable="true" ma:displayName="Document Date" ma:default="[today]" ma:format="DateTime" ma:internalName="WBDocs_Document_Date" ma:readOnly="false">
      <xsd:simpleType>
        <xsd:restriction base="dms:DateTime"/>
      </xsd:simpleType>
    </xsd:element>
    <xsd:element name="ifc_informationclassification" ma:index="4" nillable="true" ma:displayName="Information Classification" ma:default="Official Use Only" ma:format="Dropdown" ma:internalName="ifc_informationclassification" ma:readOnly="false">
      <xsd:simpleType>
        <xsd:restriction base="dms:Choice">
          <xsd:enumeration value="Public"/>
          <xsd:enumeration value="Official Use Only"/>
          <xsd:enumeration value="Confidential"/>
          <xsd:enumeration value="Strictly Confidential"/>
        </xsd:restriction>
      </xsd:simpleType>
    </xsd:element>
    <xsd:element name="ifc_abstract" ma:index="6" nillable="true" ma:displayName="Abstract" ma:internalName="ifc_abstract">
      <xsd:simpleType>
        <xsd:restriction base="dms:Note">
          <xsd:maxLength value="255"/>
        </xsd:restrictio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n190ff974a17438d91e6dfe77ffd38e5" ma:index="14" nillable="true" ma:taxonomy="true" ma:internalName="n190ff974a17438d91e6dfe77ffd38e5" ma:taxonomyFieldName="ifc_business_unit" ma:displayName="Business Unit" ma:default="" ma:fieldId="{7190ff97-4a17-438d-91e6-dfe77ffd38e5}"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800eed9e-591e-4cd3-8427-a331e6b7da8c}" ma:internalName="TaxCatchAll" ma:showField="CatchAllData" ma:web="31dc7608-8d3b-45bf-922c-46cccfc60574">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800eed9e-591e-4cd3-8427-a331e6b7da8c}" ma:internalName="TaxCatchAllLabel" ma:readOnly="true" ma:showField="CatchAllDataLabel" ma:web="31dc7608-8d3b-45bf-922c-46cccfc605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fc_informationclassification xmlns="3e02667f-0271-471b-bd6e-11a2e16def1d">Official Use Only</ifc_informationclassification>
    <WBDocs_Document_Date xmlns="3e02667f-0271-471b-bd6e-11a2e16def1d">2026-01-08T10:38:10+00:00</WBDocs_Document_Date>
    <ifc_abstract xmlns="3e02667f-0271-471b-bd6e-11a2e16def1d" xsi:nil="true"/>
    <ifc_author xmlns="3e02667f-0271-471b-bd6e-11a2e16def1d" xsi:nil="true"/>
    <n190ff974a17438d91e6dfe77ffd38e5 xmlns="3e02667f-0271-471b-bd6e-11a2e16def1d">
      <Terms xmlns="http://schemas.microsoft.com/office/infopath/2007/PartnerControls"/>
    </n190ff974a17438d91e6dfe77ffd38e5>
    <TaxCatchAll xmlns="3e02667f-0271-471b-bd6e-11a2e16def1d" xsi:nil="true"/>
  </documentManagement>
</p:properties>
</file>

<file path=customXml/itemProps1.xml><?xml version="1.0" encoding="utf-8"?>
<ds:datastoreItem xmlns:ds="http://schemas.openxmlformats.org/officeDocument/2006/customXml" ds:itemID="{6A1ABC0C-A49C-415A-BBFB-9EC60DF23872}">
  <ds:schemaRefs>
    <ds:schemaRef ds:uri="Microsoft.SharePoint.Taxonomy.ContentTypeSync"/>
  </ds:schemaRefs>
</ds:datastoreItem>
</file>

<file path=customXml/itemProps2.xml><?xml version="1.0" encoding="utf-8"?>
<ds:datastoreItem xmlns:ds="http://schemas.openxmlformats.org/officeDocument/2006/customXml" ds:itemID="{CF71E10C-6E56-40C0-BE19-E42681B204BB}">
  <ds:schemaRefs>
    <ds:schemaRef ds:uri="http://schemas.microsoft.com/sharepoint/events"/>
  </ds:schemaRefs>
</ds:datastoreItem>
</file>

<file path=customXml/itemProps3.xml><?xml version="1.0" encoding="utf-8"?>
<ds:datastoreItem xmlns:ds="http://schemas.openxmlformats.org/officeDocument/2006/customXml" ds:itemID="{3A05471A-F12B-40B2-AD26-9F805DA1AD9B}">
  <ds:schemaRefs>
    <ds:schemaRef ds:uri="http://schemas.openxmlformats.org/officeDocument/2006/bibliography"/>
  </ds:schemaRefs>
</ds:datastoreItem>
</file>

<file path=customXml/itemProps4.xml><?xml version="1.0" encoding="utf-8"?>
<ds:datastoreItem xmlns:ds="http://schemas.openxmlformats.org/officeDocument/2006/customXml" ds:itemID="{A4A111BD-9D22-4E8D-AE29-23539743058E}">
  <ds:schemaRefs>
    <ds:schemaRef ds:uri="http://schemas.microsoft.com/sharepoint/v3/contenttype/forms"/>
  </ds:schemaRefs>
</ds:datastoreItem>
</file>

<file path=customXml/itemProps5.xml><?xml version="1.0" encoding="utf-8"?>
<ds:datastoreItem xmlns:ds="http://schemas.openxmlformats.org/officeDocument/2006/customXml" ds:itemID="{DDC641DB-71F6-4E17-96CB-1D4B173C9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972E2E9-9D96-438B-8A89-0075D66F4E45}">
  <ds:schemaRefs>
    <ds:schemaRef ds:uri="http://schemas.microsoft.com/office/2006/metadata/properties"/>
    <ds:schemaRef ds:uri="http://schemas.microsoft.com/office/infopath/2007/PartnerControls"/>
    <ds:schemaRef ds:uri="3e02667f-0271-471b-bd6e-11a2e16def1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3631</Words>
  <Characters>19792</Characters>
  <Application>Microsoft Office Word</Application>
  <DocSecurity>0</DocSecurity>
  <Lines>494</Lines>
  <Paragraphs>257</Paragraphs>
  <ScaleCrop>false</ScaleCrop>
  <Company/>
  <LinksUpToDate>false</LinksUpToDate>
  <CharactersWithSpaces>23166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Sabdhio Bonaya</dc:creator>
  <cp:keywords/>
  <dc:description/>
  <cp:lastModifiedBy>Samer Naguib Bebawi Issa Ibrahim</cp:lastModifiedBy>
  <cp:revision>7</cp:revision>
  <cp:lastPrinted>2024-02-10T00:01:00Z</cp:lastPrinted>
  <dcterms:created xsi:type="dcterms:W3CDTF">2026-01-08T18:46:00Z</dcterms:created>
  <dcterms:modified xsi:type="dcterms:W3CDTF">2026-04-16T19:31:00Z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0x010100E5322611B3EDC84DA11FE54B39A09DF70100A7EBE4B42FFFC24B8FBFFC9EB81678ED</vt:lpwstr>
  </property>
  <property fmtid="{D5CDD505-2E9C-101B-9397-08002B2CF9AE}" pid="3" name="MediaServiceImageTags">
    <vt:lpwstr/>
  </property>
  <property fmtid="{D5CDD505-2E9C-101B-9397-08002B2CF9AE}" pid="4" name="ifc_business_unit">
    <vt:lpwstr/>
  </property>
  <property fmtid="{D5CDD505-2E9C-101B-9397-08002B2CF9AE}" pid="5" name="lcf76f155ced4ddcb4097134ff3c332f">
    <vt:lpwstr/>
  </property>
  <property fmtid="{D5CDD505-2E9C-101B-9397-08002B2CF9AE}" pid="6" name="docLang">
    <vt:lpwstr>en</vt:lpwstr>
  </property>
  <property fmtid="{D5CDD505-2E9C-101B-9397-08002B2CF9AE}" pid="7" name="ClassificationContentMarkingFooterShapeIds">
    <vt:lpwstr>35deb37f,3636f039,1906e892</vt:lpwstr>
  </property>
  <property fmtid="{D5CDD505-2E9C-101B-9397-08002B2CF9AE}" pid="8" name="ClassificationContentMarkingFooterFontProps">
    <vt:lpwstr>#000000,10,Aptos</vt:lpwstr>
  </property>
  <property fmtid="{D5CDD505-2E9C-101B-9397-08002B2CF9AE}" pid="9" name="ClassificationContentMarkingFooterText">
    <vt:lpwstr>Official Use Only</vt:lpwstr>
  </property>
  <property fmtid="{D5CDD505-2E9C-101B-9397-08002B2CF9AE}" pid="10" name="MSIP_Label_f1bf45b6-5649-4236-82a3-f45024cd282e_Enabled">
    <vt:lpwstr>true</vt:lpwstr>
  </property>
  <property fmtid="{D5CDD505-2E9C-101B-9397-08002B2CF9AE}" pid="11" name="MSIP_Label_f1bf45b6-5649-4236-82a3-f45024cd282e_SetDate">
    <vt:lpwstr>2026-04-16T19:30:50Z</vt:lpwstr>
  </property>
  <property fmtid="{D5CDD505-2E9C-101B-9397-08002B2CF9AE}" pid="12" name="MSIP_Label_f1bf45b6-5649-4236-82a3-f45024cd282e_Method">
    <vt:lpwstr>Privileged</vt:lpwstr>
  </property>
  <property fmtid="{D5CDD505-2E9C-101B-9397-08002B2CF9AE}" pid="13" name="MSIP_Label_f1bf45b6-5649-4236-82a3-f45024cd282e_Name">
    <vt:lpwstr>Official Use Only</vt:lpwstr>
  </property>
  <property fmtid="{D5CDD505-2E9C-101B-9397-08002B2CF9AE}" pid="14" name="MSIP_Label_f1bf45b6-5649-4236-82a3-f45024cd282e_SiteId">
    <vt:lpwstr>31a2fec0-266b-4c67-b56e-2796d8f59c36</vt:lpwstr>
  </property>
  <property fmtid="{D5CDD505-2E9C-101B-9397-08002B2CF9AE}" pid="15" name="MSIP_Label_f1bf45b6-5649-4236-82a3-f45024cd282e_ActionId">
    <vt:lpwstr>99f523bb-dc85-4db2-94bc-d0910f253b9f</vt:lpwstr>
  </property>
  <property fmtid="{D5CDD505-2E9C-101B-9397-08002B2CF9AE}" pid="16" name="MSIP_Label_f1bf45b6-5649-4236-82a3-f45024cd282e_ContentBits">
    <vt:lpwstr>2</vt:lpwstr>
  </property>
  <property fmtid="{D5CDD505-2E9C-101B-9397-08002B2CF9AE}" pid="17" name="MSIP_Label_f1bf45b6-5649-4236-82a3-f45024cd282e_Tag">
    <vt:lpwstr>10, 2, 1, 1</vt:lpwstr>
  </property>
</Properties>
</file>