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ED2B" w14:textId="0360C2A8" w:rsidR="008E73D2" w:rsidRPr="00460762" w:rsidRDefault="002E307F" w:rsidP="00635748">
      <w:pPr>
        <w:rPr>
          <w:rFonts w:ascii="Fedra Sans Std Bold" w:hAnsi="Fedra Sans Std Bold"/>
          <w:noProof/>
          <w:sz w:val="44"/>
          <w:szCs w:val="44"/>
        </w:rPr>
      </w:pPr>
      <w:r w:rsidRPr="00460762">
        <w:rPr>
          <w:rFonts w:ascii="Fedra Sans Std Bold" w:hAnsi="Fedra Sans Std Bold"/>
          <w:sz w:val="44"/>
          <w:szCs w:val="44"/>
        </w:rPr>
        <w:t>IFC</w:t>
      </w:r>
      <w:r w:rsidR="00460762" w:rsidRPr="00460762">
        <w:rPr>
          <w:rFonts w:ascii="Fedra Sans Std Bold" w:hAnsi="Fedra Sans Std Bold"/>
          <w:sz w:val="44"/>
          <w:szCs w:val="44"/>
        </w:rPr>
        <w:t>’s</w:t>
      </w:r>
      <w:r w:rsidRPr="00460762">
        <w:rPr>
          <w:rFonts w:ascii="Fedra Sans Std Bold" w:hAnsi="Fedra Sans Std Bold"/>
          <w:sz w:val="44"/>
          <w:szCs w:val="44"/>
        </w:rPr>
        <w:t xml:space="preserve"> ESG Performance Indicators </w:t>
      </w:r>
      <w:r w:rsidR="00183C15" w:rsidRPr="00105446">
        <w:rPr>
          <w:rFonts w:asciiTheme="minorHAnsi" w:hAnsiTheme="minorHAnsi"/>
          <w:sz w:val="44"/>
          <w:szCs w:val="44"/>
        </w:rPr>
        <w:t>—</w:t>
      </w:r>
      <w:r w:rsidRPr="00460762">
        <w:rPr>
          <w:rFonts w:ascii="Fedra Sans Std Bold" w:hAnsi="Fedra Sans Std Bold"/>
          <w:sz w:val="44"/>
          <w:szCs w:val="44"/>
        </w:rPr>
        <w:t xml:space="preserve"> FAQ</w:t>
      </w:r>
      <w:r w:rsidRPr="00460762">
        <w:rPr>
          <w:rFonts w:ascii="Fedra Sans Std Bold" w:hAnsi="Fedra Sans Std Bold"/>
          <w:noProof/>
          <w:sz w:val="44"/>
          <w:szCs w:val="44"/>
        </w:rPr>
        <w:t xml:space="preserve"> </w:t>
      </w:r>
    </w:p>
    <w:p w14:paraId="76C8542D" w14:textId="77777777" w:rsidR="00635748" w:rsidRPr="00635748" w:rsidRDefault="00635748" w:rsidP="00635748">
      <w:pPr>
        <w:rPr>
          <w:rFonts w:ascii="Fedra Sans Std Bold" w:hAnsi="Fedra Sans Std Bold"/>
          <w:noProof/>
          <w:sz w:val="48"/>
          <w:szCs w:val="48"/>
        </w:rPr>
      </w:pPr>
    </w:p>
    <w:p w14:paraId="03D7A25F" w14:textId="351491F1" w:rsidR="00183C15" w:rsidRDefault="00460762" w:rsidP="00BE79F4">
      <w:pPr>
        <w:rPr>
          <w:b/>
          <w:bCs/>
        </w:rPr>
      </w:pPr>
      <w:r w:rsidRPr="00460762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44EE76EB" wp14:editId="490DA12B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226319" cy="443887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319" cy="4438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524156" w14:textId="77777777" w:rsidR="00635748" w:rsidRDefault="00635748" w:rsidP="00BE79F4">
      <w:pPr>
        <w:rPr>
          <w:b/>
          <w:bCs/>
        </w:rPr>
      </w:pPr>
    </w:p>
    <w:p w14:paraId="7F6F18B5" w14:textId="77777777" w:rsidR="00460762" w:rsidRDefault="00460762" w:rsidP="00635748">
      <w:pPr>
        <w:spacing w:after="120"/>
        <w:rPr>
          <w:rFonts w:ascii="Fedra Sans Std Bold" w:hAnsi="Fedra Sans Std Bold"/>
        </w:rPr>
      </w:pPr>
    </w:p>
    <w:p w14:paraId="651A88BC" w14:textId="77777777" w:rsidR="00460762" w:rsidRDefault="00460762" w:rsidP="00635748">
      <w:pPr>
        <w:spacing w:after="120"/>
        <w:rPr>
          <w:rFonts w:ascii="Fedra Sans Std Bold" w:hAnsi="Fedra Sans Std Bold"/>
        </w:rPr>
      </w:pPr>
    </w:p>
    <w:p w14:paraId="053BAB4A" w14:textId="2E8B67A9" w:rsidR="00460762" w:rsidRDefault="00460762" w:rsidP="00635748">
      <w:pPr>
        <w:spacing w:after="120"/>
        <w:rPr>
          <w:rFonts w:ascii="Fedra Sans Std Bold" w:hAnsi="Fedra Sans Std Bold"/>
        </w:rPr>
      </w:pPr>
    </w:p>
    <w:p w14:paraId="383AE6F3" w14:textId="77777777" w:rsidR="00460762" w:rsidRDefault="00460762" w:rsidP="00635748">
      <w:pPr>
        <w:spacing w:after="120"/>
        <w:rPr>
          <w:rFonts w:ascii="Fedra Sans Std Bold" w:hAnsi="Fedra Sans Std Bold"/>
        </w:rPr>
      </w:pPr>
    </w:p>
    <w:p w14:paraId="06470FA7" w14:textId="77777777" w:rsidR="00460762" w:rsidRDefault="00460762" w:rsidP="00635748">
      <w:pPr>
        <w:spacing w:after="120"/>
        <w:rPr>
          <w:rFonts w:ascii="Fedra Sans Std Bold" w:hAnsi="Fedra Sans Std Bold"/>
        </w:rPr>
      </w:pPr>
    </w:p>
    <w:p w14:paraId="291DB523" w14:textId="77777777" w:rsidR="00460762" w:rsidRDefault="00460762" w:rsidP="00635748">
      <w:pPr>
        <w:spacing w:after="120"/>
        <w:rPr>
          <w:rFonts w:ascii="Fedra Sans Std Bold" w:hAnsi="Fedra Sans Std Bold"/>
        </w:rPr>
      </w:pPr>
    </w:p>
    <w:p w14:paraId="5FE8C8E6" w14:textId="77777777" w:rsidR="00460762" w:rsidRDefault="00460762" w:rsidP="00635748">
      <w:pPr>
        <w:spacing w:after="120"/>
        <w:rPr>
          <w:rFonts w:ascii="Fedra Sans Std Bold" w:hAnsi="Fedra Sans Std Bold"/>
        </w:rPr>
      </w:pPr>
    </w:p>
    <w:p w14:paraId="636BE19A" w14:textId="77777777" w:rsidR="00460762" w:rsidRDefault="00460762" w:rsidP="00635748">
      <w:pPr>
        <w:spacing w:after="120"/>
        <w:rPr>
          <w:rFonts w:ascii="Fedra Sans Std Bold" w:hAnsi="Fedra Sans Std Bold"/>
        </w:rPr>
      </w:pPr>
    </w:p>
    <w:p w14:paraId="6355DA33" w14:textId="77777777" w:rsidR="00460762" w:rsidRDefault="00460762" w:rsidP="00635748">
      <w:pPr>
        <w:spacing w:after="120"/>
        <w:rPr>
          <w:rFonts w:ascii="Fedra Sans Std Bold" w:hAnsi="Fedra Sans Std Bold"/>
        </w:rPr>
      </w:pPr>
    </w:p>
    <w:p w14:paraId="07DEFB2C" w14:textId="77777777" w:rsidR="00460762" w:rsidRDefault="00460762" w:rsidP="00635748">
      <w:pPr>
        <w:spacing w:after="120"/>
        <w:rPr>
          <w:rFonts w:ascii="Fedra Sans Std Bold" w:hAnsi="Fedra Sans Std Bold"/>
        </w:rPr>
      </w:pPr>
    </w:p>
    <w:p w14:paraId="5E65EC67" w14:textId="77777777" w:rsidR="00460762" w:rsidRDefault="00460762" w:rsidP="00635748">
      <w:pPr>
        <w:spacing w:after="120"/>
        <w:rPr>
          <w:rFonts w:ascii="Fedra Sans Std Bold" w:hAnsi="Fedra Sans Std Bold"/>
        </w:rPr>
      </w:pPr>
    </w:p>
    <w:p w14:paraId="1B2D275B" w14:textId="77777777" w:rsidR="00460762" w:rsidRDefault="00460762" w:rsidP="00635748">
      <w:pPr>
        <w:spacing w:after="120"/>
        <w:rPr>
          <w:rFonts w:ascii="Fedra Sans Std Bold" w:hAnsi="Fedra Sans Std Bold"/>
        </w:rPr>
      </w:pPr>
    </w:p>
    <w:p w14:paraId="21A9B6F6" w14:textId="77777777" w:rsidR="00460762" w:rsidRDefault="00460762" w:rsidP="00635748">
      <w:pPr>
        <w:spacing w:after="120"/>
        <w:rPr>
          <w:rFonts w:ascii="Fedra Sans Std Bold" w:hAnsi="Fedra Sans Std Bold"/>
        </w:rPr>
      </w:pPr>
    </w:p>
    <w:p w14:paraId="5D938A77" w14:textId="77777777" w:rsidR="00460762" w:rsidRDefault="00460762" w:rsidP="00635748">
      <w:pPr>
        <w:spacing w:after="120"/>
        <w:rPr>
          <w:rFonts w:ascii="Fedra Sans Std Bold" w:hAnsi="Fedra Sans Std Bold"/>
        </w:rPr>
      </w:pPr>
    </w:p>
    <w:p w14:paraId="5EE87136" w14:textId="77777777" w:rsidR="00460762" w:rsidRDefault="00460762" w:rsidP="00635748">
      <w:pPr>
        <w:spacing w:after="120"/>
        <w:rPr>
          <w:rFonts w:ascii="Fedra Sans Std Bold" w:hAnsi="Fedra Sans Std Bold"/>
        </w:rPr>
      </w:pPr>
    </w:p>
    <w:p w14:paraId="7C5C6F56" w14:textId="77777777" w:rsidR="00460762" w:rsidRDefault="00460762" w:rsidP="00635748">
      <w:pPr>
        <w:spacing w:after="120"/>
        <w:rPr>
          <w:rFonts w:ascii="Fedra Sans Std Bold" w:hAnsi="Fedra Sans Std Bold"/>
        </w:rPr>
      </w:pPr>
    </w:p>
    <w:p w14:paraId="7BE925BF" w14:textId="77777777" w:rsidR="00460762" w:rsidRDefault="00460762" w:rsidP="00635748">
      <w:pPr>
        <w:spacing w:after="120"/>
        <w:rPr>
          <w:rFonts w:ascii="Fedra Sans Std Bold" w:hAnsi="Fedra Sans Std Bold"/>
        </w:rPr>
      </w:pPr>
    </w:p>
    <w:p w14:paraId="7795A1F6" w14:textId="01282391" w:rsidR="00BE79F4" w:rsidRPr="00635748" w:rsidRDefault="0065070F" w:rsidP="00635748">
      <w:pPr>
        <w:spacing w:after="120"/>
        <w:rPr>
          <w:rFonts w:ascii="Fedra Sans Std Bold" w:hAnsi="Fedra Sans Std Bold"/>
        </w:rPr>
      </w:pPr>
      <w:r w:rsidRPr="00635748">
        <w:rPr>
          <w:rFonts w:ascii="Fedra Sans Std Bold" w:hAnsi="Fedra Sans Std Bold"/>
        </w:rPr>
        <w:t>What are IFC’s ESG Performance Indicators</w:t>
      </w:r>
      <w:r w:rsidR="005C00BB" w:rsidRPr="00635748">
        <w:rPr>
          <w:rFonts w:ascii="Fedra Sans Std Bold" w:hAnsi="Fedra Sans Std Bold"/>
        </w:rPr>
        <w:t>?</w:t>
      </w:r>
    </w:p>
    <w:p w14:paraId="19DA2EEE" w14:textId="202219C0" w:rsidR="009D1B55" w:rsidRPr="00635748" w:rsidRDefault="388BAB2C" w:rsidP="00183C15">
      <w:pPr>
        <w:pStyle w:val="ListParagraph"/>
        <w:ind w:left="0"/>
        <w:mirrorIndents/>
        <w:jc w:val="both"/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</w:pPr>
      <w:r w:rsidRPr="00635748"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  <w:t xml:space="preserve">IFC’s ESG Performance Indicators are a sustainability data framework aimed at providing tools and infrastructure to </w:t>
      </w:r>
      <w:r w:rsidRPr="00635748" w:rsidDel="009D1B55">
        <w:rPr>
          <w:rFonts w:ascii="Fedra Sans Std Book" w:hAnsi="Fedra Sans Std Book"/>
          <w:color w:val="000000" w:themeColor="text1"/>
        </w:rPr>
        <w:t>help reduce the</w:t>
      </w:r>
      <w:r w:rsidRPr="00635748"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  <w:t xml:space="preserve"> ESG data reporting burden for </w:t>
      </w:r>
      <w:r w:rsidR="00147162" w:rsidRPr="00635748"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  <w:t xml:space="preserve">Emerging Market </w:t>
      </w:r>
      <w:r w:rsidRPr="00635748"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  <w:t>capital markets issuers and enhance sustainability reporting. IFC’s ESG Performance Indicators are based on IFC’s</w:t>
      </w:r>
      <w:hyperlink r:id="rId12" w:history="1">
        <w:r w:rsidRPr="00635748">
          <w:rPr>
            <w:rStyle w:val="Hyperlink"/>
            <w:rFonts w:ascii="Fedra Sans Std Book" w:hAnsi="Fedra Sans Std Book"/>
          </w:rPr>
          <w:t xml:space="preserve"> Environmental and Social Performance Standards</w:t>
        </w:r>
      </w:hyperlink>
      <w:r w:rsidRPr="00635748"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  <w:t xml:space="preserve"> and </w:t>
      </w:r>
      <w:hyperlink r:id="rId13" w:history="1">
        <w:r w:rsidRPr="00635748">
          <w:rPr>
            <w:rStyle w:val="Hyperlink"/>
            <w:rFonts w:ascii="Fedra Sans Std Book" w:hAnsi="Fedra Sans Std Book"/>
            <w:bdr w:val="none" w:sz="0" w:space="0" w:color="auto" w:frame="1"/>
            <w:shd w:val="clear" w:color="auto" w:fill="FFFFFF"/>
          </w:rPr>
          <w:t>Corporate Governance Methodology</w:t>
        </w:r>
      </w:hyperlink>
      <w:r w:rsidRPr="00635748"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  <w:t>, which represent globally recognized ESG risk assessment and management benchmarks.</w:t>
      </w:r>
    </w:p>
    <w:p w14:paraId="5FC7F4F4" w14:textId="5B7ACBB1" w:rsidR="009D1B55" w:rsidRPr="00635748" w:rsidRDefault="388BAB2C" w:rsidP="7CD3966E">
      <w:pPr>
        <w:pStyle w:val="NormalWeb"/>
        <w:shd w:val="clear" w:color="auto" w:fill="FFFFFF" w:themeFill="background1"/>
        <w:jc w:val="both"/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</w:pPr>
      <w:r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 xml:space="preserve">IFC’s ESG Performance Indicators </w:t>
      </w:r>
      <w:r w:rsidR="6BAFDADD"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 xml:space="preserve">focus </w:t>
      </w:r>
      <w:r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 xml:space="preserve">on making IFC’s long-standing ESG expertise available for issuers to report ESG and impact performance in capital markets and are </w:t>
      </w:r>
      <w:r w:rsidR="007D0DA5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>applied</w:t>
      </w:r>
      <w:r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 xml:space="preserve"> based on publicly available information. The ESG Performance Indicators </w:t>
      </w:r>
      <w:r w:rsidR="001F21AB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>help</w:t>
      </w:r>
      <w:r w:rsidR="001F21AB"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 xml:space="preserve"> </w:t>
      </w:r>
      <w:r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>investors to focus on significant ESG issues</w:t>
      </w:r>
      <w:r w:rsidR="00D533C3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>.</w:t>
      </w:r>
    </w:p>
    <w:p w14:paraId="04FC24E5" w14:textId="449B0EE5" w:rsidR="003D1DF6" w:rsidRPr="00635748" w:rsidRDefault="00D61094" w:rsidP="003D1DF6">
      <w:pPr>
        <w:autoSpaceDE w:val="0"/>
        <w:autoSpaceDN w:val="0"/>
        <w:adjustRightInd w:val="0"/>
        <w:rPr>
          <w:rFonts w:ascii="Fedra Sans Std Book" w:hAnsi="Fedra Sans Std Book" w:cs="CIDFont+F1"/>
        </w:rPr>
      </w:pPr>
      <w:r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lastRenderedPageBreak/>
        <w:t xml:space="preserve">IFC’s ESG expertise is founded on its position as the largest investor in the private sector in Emerging Markets, with a highly diversified global </w:t>
      </w:r>
      <w:hyperlink r:id="rId14" w:history="1">
        <w:r w:rsidRPr="00635748">
          <w:rPr>
            <w:rStyle w:val="Hyperlink"/>
            <w:rFonts w:ascii="Fedra Sans Std Book" w:hAnsi="Fedra Sans Std Book" w:cstheme="minorBidi"/>
            <w:bdr w:val="none" w:sz="0" w:space="0" w:color="auto" w:frame="1"/>
            <w:shd w:val="clear" w:color="auto" w:fill="FFFFFF"/>
            <w:lang w:val="en-GB"/>
          </w:rPr>
          <w:t>portfolio</w:t>
        </w:r>
      </w:hyperlink>
      <w:r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 xml:space="preserve"> of debt and equity exposures in </w:t>
      </w:r>
      <w:r w:rsidR="00040064"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>nearly</w:t>
      </w:r>
      <w:r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 xml:space="preserve"> 2,000 companies in </w:t>
      </w:r>
      <w:r w:rsidR="00040064"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>67</w:t>
      </w:r>
      <w:r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 xml:space="preserve"> countries.  </w:t>
      </w:r>
      <w:bookmarkStart w:id="0" w:name="_Hlk525140672"/>
      <w:r w:rsidR="003D1DF6" w:rsidRPr="00635748">
        <w:rPr>
          <w:rFonts w:ascii="Fedra Sans Std Book" w:hAnsi="Fedra Sans Std Book" w:cs="CIDFont+F1"/>
        </w:rPr>
        <w:t>Between 2006 and 2016, an</w:t>
      </w:r>
      <w:r w:rsidR="00354AAA" w:rsidRPr="00635748">
        <w:rPr>
          <w:rFonts w:ascii="Fedra Sans Std Book" w:hAnsi="Fedra Sans Std Book" w:cs="CIDFont+F1"/>
        </w:rPr>
        <w:t xml:space="preserve"> </w:t>
      </w:r>
      <w:r w:rsidR="003D1DF6" w:rsidRPr="00635748">
        <w:rPr>
          <w:rFonts w:ascii="Fedra Sans Std Book" w:hAnsi="Fedra Sans Std Book" w:cs="CIDFont+F1"/>
        </w:rPr>
        <w:t xml:space="preserve">estimated </w:t>
      </w:r>
      <w:hyperlink r:id="rId15" w:history="1">
        <w:r w:rsidR="003D1DF6" w:rsidRPr="00635748">
          <w:rPr>
            <w:rStyle w:val="Hyperlink"/>
            <w:rFonts w:ascii="Fedra Sans Std Book" w:hAnsi="Fedra Sans Std Book" w:cs="CIDFont+F1"/>
          </w:rPr>
          <w:t>$4.5 trillion</w:t>
        </w:r>
      </w:hyperlink>
      <w:r w:rsidR="003D1DF6" w:rsidRPr="00635748">
        <w:rPr>
          <w:rFonts w:ascii="Fedra Sans Std Book" w:hAnsi="Fedra Sans Std Book" w:cs="CIDFont+F1"/>
        </w:rPr>
        <w:t xml:space="preserve"> in investments across emerging markets adhered to IFC’s standards or to</w:t>
      </w:r>
      <w:r w:rsidR="00354AAA" w:rsidRPr="00635748">
        <w:rPr>
          <w:rFonts w:ascii="Fedra Sans Std Book" w:hAnsi="Fedra Sans Std Book" w:cs="CIDFont+F1"/>
        </w:rPr>
        <w:t xml:space="preserve"> </w:t>
      </w:r>
      <w:r w:rsidR="003D1DF6" w:rsidRPr="00635748">
        <w:rPr>
          <w:rFonts w:ascii="Fedra Sans Std Book" w:hAnsi="Fedra Sans Std Book" w:cs="CIDFont+F1"/>
        </w:rPr>
        <w:t>principles inspired by these standards</w:t>
      </w:r>
      <w:r w:rsidR="00354AAA" w:rsidRPr="00635748">
        <w:rPr>
          <w:rFonts w:ascii="Fedra Sans Std Book" w:hAnsi="Fedra Sans Std Book" w:cs="CIDFont+F1"/>
        </w:rPr>
        <w:t>.</w:t>
      </w:r>
    </w:p>
    <w:p w14:paraId="21892A2E" w14:textId="77777777" w:rsidR="00F00AAC" w:rsidRPr="00635748" w:rsidRDefault="00F00AAC" w:rsidP="003D1DF6">
      <w:pPr>
        <w:autoSpaceDE w:val="0"/>
        <w:autoSpaceDN w:val="0"/>
        <w:adjustRightInd w:val="0"/>
        <w:rPr>
          <w:rFonts w:ascii="Fedra Sans Std Book" w:hAnsi="Fedra Sans Std Book" w:cs="CIDFont+F1"/>
        </w:rPr>
      </w:pPr>
    </w:p>
    <w:bookmarkEnd w:id="0"/>
    <w:p w14:paraId="6A6DD710" w14:textId="70352F1E" w:rsidR="00D61094" w:rsidRPr="00635748" w:rsidRDefault="00460762" w:rsidP="003D1DF6">
      <w:pPr>
        <w:jc w:val="both"/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</w:pPr>
      <w:r w:rsidRPr="00635748"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  <w:t>IFC’s</w:t>
      </w:r>
      <w:hyperlink r:id="rId16" w:history="1">
        <w:r w:rsidRPr="00635748">
          <w:rPr>
            <w:rStyle w:val="Hyperlink"/>
            <w:rFonts w:ascii="Fedra Sans Std Book" w:hAnsi="Fedra Sans Std Book"/>
          </w:rPr>
          <w:t xml:space="preserve"> Environmental and Social Performance Standards</w:t>
        </w:r>
      </w:hyperlink>
      <w:r w:rsidRPr="00635748"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  <w:t xml:space="preserve"> and </w:t>
      </w:r>
      <w:hyperlink r:id="rId17" w:history="1">
        <w:r w:rsidRPr="00635748">
          <w:rPr>
            <w:rStyle w:val="Hyperlink"/>
            <w:rFonts w:ascii="Fedra Sans Std Book" w:hAnsi="Fedra Sans Std Book"/>
            <w:bdr w:val="none" w:sz="0" w:space="0" w:color="auto" w:frame="1"/>
            <w:shd w:val="clear" w:color="auto" w:fill="FFFFFF"/>
          </w:rPr>
          <w:t>Corporate Governance Methodology</w:t>
        </w:r>
      </w:hyperlink>
      <w:r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 xml:space="preserve"> </w:t>
      </w:r>
      <w:r w:rsidR="00D61094"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>cover ESG issues that are material to all EM regions and sectors and have been proven effective through testing via IFC’s investment and advisory footprint and co-investment relationships that have allowed for a critical mass of users and demonstrated results in EMs.</w:t>
      </w:r>
    </w:p>
    <w:p w14:paraId="45D3D3B6" w14:textId="77777777" w:rsidR="00D61094" w:rsidRPr="00635748" w:rsidRDefault="00D61094" w:rsidP="7CD3966E">
      <w:pPr>
        <w:pStyle w:val="NormalWeb"/>
        <w:shd w:val="clear" w:color="auto" w:fill="FFFFFF" w:themeFill="background1"/>
        <w:jc w:val="both"/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</w:pPr>
    </w:p>
    <w:p w14:paraId="60D8B3F8" w14:textId="6D34B8DF" w:rsidR="002929CD" w:rsidRPr="00635748" w:rsidRDefault="002929CD" w:rsidP="00635748">
      <w:pPr>
        <w:spacing w:after="120"/>
        <w:rPr>
          <w:rFonts w:ascii="Fedra Sans Std Bold" w:hAnsi="Fedra Sans Std Bold"/>
        </w:rPr>
      </w:pPr>
      <w:r w:rsidRPr="00635748">
        <w:rPr>
          <w:rFonts w:ascii="Fedra Sans Std Bold" w:hAnsi="Fedra Sans Std Bold"/>
        </w:rPr>
        <w:t xml:space="preserve">How are IFC’s ESG Performance Indicators </w:t>
      </w:r>
      <w:r w:rsidR="00EF2B1A">
        <w:rPr>
          <w:rFonts w:ascii="Fedra Sans Std Bold" w:hAnsi="Fedra Sans Std Bold"/>
        </w:rPr>
        <w:t>applied</w:t>
      </w:r>
      <w:r w:rsidRPr="00635748">
        <w:rPr>
          <w:rFonts w:ascii="Fedra Sans Std Bold" w:hAnsi="Fedra Sans Std Bold"/>
        </w:rPr>
        <w:t>?</w:t>
      </w:r>
    </w:p>
    <w:p w14:paraId="1AD34957" w14:textId="489C61B2" w:rsidR="00BC6622" w:rsidRPr="00635748" w:rsidRDefault="00BC6622" w:rsidP="00BC6622">
      <w:pPr>
        <w:jc w:val="both"/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</w:pPr>
      <w:r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 xml:space="preserve">As part of its capital market's strategy, IFC aims to support building robust, efficient, and transparent markets that attract and efficiently allocate capital to support sustainable private sector-led economic development in </w:t>
      </w:r>
      <w:r w:rsidR="006A70C3"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>E</w:t>
      </w:r>
      <w:r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 xml:space="preserve">merging </w:t>
      </w:r>
      <w:r w:rsidR="006A70C3"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>M</w:t>
      </w:r>
      <w:r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 xml:space="preserve">arkets. </w:t>
      </w:r>
      <w:r w:rsidRPr="00635748">
        <w:rPr>
          <w:rFonts w:ascii="Fedra Sans Std Book" w:hAnsi="Fedra Sans Std Book" w:cstheme="minorHAnsi"/>
        </w:rPr>
        <w:t>Reliable ESG data and analysis are crucial to develop investment strategies that integrate ESG issues. There is</w:t>
      </w:r>
      <w:r w:rsidR="00E7154E" w:rsidRPr="00635748">
        <w:rPr>
          <w:rFonts w:ascii="Fedra Sans Std Book" w:hAnsi="Fedra Sans Std Book" w:cstheme="minorHAnsi"/>
        </w:rPr>
        <w:t xml:space="preserve"> </w:t>
      </w:r>
      <w:r w:rsidRPr="00635748">
        <w:rPr>
          <w:rFonts w:ascii="Fedra Sans Std Book" w:hAnsi="Fedra Sans Std Book" w:cstheme="minorHAnsi"/>
        </w:rPr>
        <w:t xml:space="preserve">considerable variability in ESG data collected and analyzed for EM issuers, making it difficult for investors to determine the quality of ESG analysis and </w:t>
      </w:r>
      <w:r w:rsidR="00955339">
        <w:rPr>
          <w:rFonts w:ascii="Fedra Sans Std Book" w:hAnsi="Fedra Sans Std Book" w:cstheme="minorHAnsi"/>
        </w:rPr>
        <w:t xml:space="preserve">consider </w:t>
      </w:r>
      <w:r w:rsidRPr="00635748">
        <w:rPr>
          <w:rFonts w:ascii="Fedra Sans Std Book" w:hAnsi="Fedra Sans Std Book" w:cstheme="minorHAnsi"/>
        </w:rPr>
        <w:t>the</w:t>
      </w:r>
      <w:r w:rsidR="00955339">
        <w:rPr>
          <w:rFonts w:ascii="Fedra Sans Std Book" w:hAnsi="Fedra Sans Std Book" w:cstheme="minorHAnsi"/>
        </w:rPr>
        <w:t xml:space="preserve"> potential</w:t>
      </w:r>
      <w:r w:rsidRPr="00635748">
        <w:rPr>
          <w:rFonts w:ascii="Fedra Sans Std Book" w:hAnsi="Fedra Sans Std Book" w:cstheme="minorHAnsi"/>
        </w:rPr>
        <w:t xml:space="preserve"> materiality of this analysis to long term financial results.</w:t>
      </w:r>
      <w:r w:rsidR="002929CD" w:rsidRPr="00635748">
        <w:rPr>
          <w:rFonts w:ascii="Fedra Sans Std Book" w:hAnsi="Fedra Sans Std Book" w:cstheme="minorHAnsi"/>
        </w:rPr>
        <w:t xml:space="preserve"> </w:t>
      </w:r>
      <w:r w:rsidRPr="00635748">
        <w:rPr>
          <w:rFonts w:ascii="Fedra Sans Std Book" w:eastAsia="Times New Roman" w:hAnsi="Fedra Sans Std Book" w:cstheme="minorBidi"/>
        </w:rPr>
        <w:t xml:space="preserve">To address these gaps in ESG data reporting, </w:t>
      </w:r>
      <w:r w:rsidRPr="00635748">
        <w:rPr>
          <w:rFonts w:ascii="Fedra Sans Std Book" w:hAnsi="Fedra Sans Std Book" w:cstheme="minorBidi"/>
        </w:rPr>
        <w:t xml:space="preserve">IFC has developed a methodology drawn from its ESG standards and adjusted to the circumstances of capital </w:t>
      </w:r>
      <w:r w:rsidRPr="00635748">
        <w:rPr>
          <w:rFonts w:ascii="Fedra Sans Std Book" w:eastAsia="Times New Roman" w:hAnsi="Fedra Sans Std Book" w:cstheme="minorBidi"/>
        </w:rPr>
        <w:t xml:space="preserve">markets. </w:t>
      </w:r>
    </w:p>
    <w:p w14:paraId="145CF3B4" w14:textId="14E19DC3" w:rsidR="00C37F06" w:rsidRPr="00635748" w:rsidRDefault="00C37F06" w:rsidP="0087374C">
      <w:pPr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</w:pPr>
    </w:p>
    <w:p w14:paraId="3F72092C" w14:textId="25F8F7EE" w:rsidR="00F220CD" w:rsidRPr="00635748" w:rsidRDefault="00F220CD" w:rsidP="00F220CD">
      <w:pPr>
        <w:jc w:val="both"/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</w:pPr>
      <w:r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 xml:space="preserve">IFC’s ESG Performance Indicators may be </w:t>
      </w:r>
      <w:r w:rsidR="005D6925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>applied</w:t>
      </w:r>
      <w:r w:rsidRPr="00635748">
        <w:rPr>
          <w:rFonts w:ascii="Fedra Sans Std Book" w:hAnsi="Fedra Sans Std Book" w:cstheme="minorBidi"/>
          <w:color w:val="000000"/>
          <w:bdr w:val="none" w:sz="0" w:space="0" w:color="auto" w:frame="1"/>
          <w:shd w:val="clear" w:color="auto" w:fill="FFFFFF"/>
          <w:lang w:val="en-GB"/>
        </w:rPr>
        <w:t xml:space="preserve"> entirely using publicly available data. This includes primary issuer-reported data and secondary data sources. Data sources may include:</w:t>
      </w:r>
    </w:p>
    <w:p w14:paraId="14D6B51A" w14:textId="77777777" w:rsidR="00F220CD" w:rsidRPr="00635748" w:rsidRDefault="00F220CD" w:rsidP="00635748">
      <w:pPr>
        <w:pStyle w:val="ListParagraph"/>
        <w:numPr>
          <w:ilvl w:val="0"/>
          <w:numId w:val="4"/>
        </w:numPr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</w:pPr>
      <w:r w:rsidRPr="00635748"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  <w:t>Company websites</w:t>
      </w:r>
    </w:p>
    <w:p w14:paraId="0BEE714D" w14:textId="77777777" w:rsidR="00F220CD" w:rsidRPr="00635748" w:rsidRDefault="00F220CD" w:rsidP="00635748">
      <w:pPr>
        <w:pStyle w:val="ListParagraph"/>
        <w:numPr>
          <w:ilvl w:val="0"/>
          <w:numId w:val="4"/>
        </w:numPr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</w:pPr>
      <w:r w:rsidRPr="00635748"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  <w:t>Annual Reports, Sustainability reports, Integrated Annual Reports</w:t>
      </w:r>
    </w:p>
    <w:p w14:paraId="557D5C0E" w14:textId="77777777" w:rsidR="00F220CD" w:rsidRPr="00635748" w:rsidRDefault="00F220CD" w:rsidP="00635748">
      <w:pPr>
        <w:pStyle w:val="ListParagraph"/>
        <w:numPr>
          <w:ilvl w:val="0"/>
          <w:numId w:val="4"/>
        </w:numPr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</w:pPr>
      <w:r w:rsidRPr="00635748"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  <w:t>Information disclosed publicly to Regulators and Stock Exchanges</w:t>
      </w:r>
    </w:p>
    <w:p w14:paraId="4541710F" w14:textId="0CF9145A" w:rsidR="00F220CD" w:rsidRPr="00635748" w:rsidRDefault="00F220CD" w:rsidP="00635748">
      <w:pPr>
        <w:pStyle w:val="ListParagraph"/>
        <w:numPr>
          <w:ilvl w:val="0"/>
          <w:numId w:val="4"/>
        </w:numPr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</w:pPr>
      <w:r w:rsidRPr="00635748"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  <w:t>News reports, NGO</w:t>
      </w:r>
      <w:r w:rsidR="00FD55E3"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  <w:t xml:space="preserve"> reports</w:t>
      </w:r>
    </w:p>
    <w:p w14:paraId="7A9B1C78" w14:textId="77777777" w:rsidR="00F220CD" w:rsidRPr="00635748" w:rsidRDefault="00F220CD" w:rsidP="00635748">
      <w:pPr>
        <w:pStyle w:val="ListParagraph"/>
        <w:numPr>
          <w:ilvl w:val="0"/>
          <w:numId w:val="4"/>
        </w:numPr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</w:pPr>
      <w:r w:rsidRPr="00635748"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  <w:t>Second opinion provider reports</w:t>
      </w:r>
    </w:p>
    <w:p w14:paraId="2BA0277F" w14:textId="77777777" w:rsidR="00F220CD" w:rsidRPr="00635748" w:rsidRDefault="00F220CD" w:rsidP="00635748">
      <w:pPr>
        <w:pStyle w:val="ListParagraph"/>
        <w:numPr>
          <w:ilvl w:val="0"/>
          <w:numId w:val="4"/>
        </w:numPr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</w:pPr>
      <w:r w:rsidRPr="00635748">
        <w:rPr>
          <w:rFonts w:ascii="Fedra Sans Std Book" w:hAnsi="Fedra Sans Std Book"/>
          <w:color w:val="000000"/>
          <w:bdr w:val="none" w:sz="0" w:space="0" w:color="auto" w:frame="1"/>
          <w:shd w:val="clear" w:color="auto" w:fill="FFFFFF"/>
        </w:rPr>
        <w:t>Information on Development Financial Institutions Disclosure portals, Equator Principles website</w:t>
      </w:r>
    </w:p>
    <w:p w14:paraId="2E6E06DA" w14:textId="77777777" w:rsidR="00F220CD" w:rsidRDefault="00F220CD" w:rsidP="0087374C">
      <w:pPr>
        <w:rPr>
          <w:rFonts w:asciiTheme="minorHAnsi" w:hAnsiTheme="minorHAnsi" w:cstheme="minorBidi"/>
          <w:color w:val="000000"/>
          <w:bdr w:val="none" w:sz="0" w:space="0" w:color="auto" w:frame="1"/>
          <w:shd w:val="clear" w:color="auto" w:fill="FFFFFF"/>
          <w:lang w:val="en-GB"/>
        </w:rPr>
      </w:pPr>
    </w:p>
    <w:sectPr w:rsidR="00F220CD" w:rsidSect="00E371E2">
      <w:footerReference w:type="default" r:id="rId18"/>
      <w:pgSz w:w="12240" w:h="15840"/>
      <w:pgMar w:top="1440" w:right="1440" w:bottom="1985" w:left="1440" w:header="720" w:footer="8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65BF6" w14:textId="77777777" w:rsidR="00201C22" w:rsidRDefault="00201C22" w:rsidP="009D1B55">
      <w:r>
        <w:separator/>
      </w:r>
    </w:p>
  </w:endnote>
  <w:endnote w:type="continuationSeparator" w:id="0">
    <w:p w14:paraId="380200C3" w14:textId="77777777" w:rsidR="00201C22" w:rsidRDefault="00201C22" w:rsidP="009D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Bold">
    <w:panose1 w:val="020B0803040000020004"/>
    <w:charset w:val="00"/>
    <w:family w:val="swiss"/>
    <w:notTrueType/>
    <w:pitch w:val="variable"/>
    <w:sig w:usb0="20000007" w:usb1="00000003" w:usb2="00000000" w:usb3="00000000" w:csb0="00000193" w:csb1="00000000"/>
  </w:font>
  <w:font w:name="Fedra Sans Std Book">
    <w:panose1 w:val="020B0403040000020004"/>
    <w:charset w:val="00"/>
    <w:family w:val="swiss"/>
    <w:notTrueType/>
    <w:pitch w:val="variable"/>
    <w:sig w:usb0="20000007" w:usb1="00000003" w:usb2="00000000" w:usb3="00000000" w:csb0="000001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880E" w14:textId="3922EF4B" w:rsidR="00635748" w:rsidRDefault="00E371E2" w:rsidP="00183C15">
    <w:pPr>
      <w:pStyle w:val="Footer"/>
      <w:tabs>
        <w:tab w:val="clear" w:pos="9355"/>
      </w:tabs>
      <w:ind w:right="4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C87B360" wp14:editId="34274B5A">
          <wp:simplePos x="0" y="0"/>
          <wp:positionH relativeFrom="column">
            <wp:posOffset>3941031</wp:posOffset>
          </wp:positionH>
          <wp:positionV relativeFrom="paragraph">
            <wp:posOffset>-400685</wp:posOffset>
          </wp:positionV>
          <wp:extent cx="2070000" cy="525600"/>
          <wp:effectExtent l="0" t="0" r="6985" b="8255"/>
          <wp:wrapNone/>
          <wp:docPr id="19" name="Picture 19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Picture 219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5446">
      <w:rPr>
        <w:rFonts w:ascii="Fedra Sans Std Bold" w:hAnsi="Fedra Sans Std Bold" w:cs="Helv"/>
        <w:bCs/>
        <w:noProof/>
        <w:color w:val="00AEEF"/>
        <w:sz w:val="16"/>
        <w:szCs w:val="16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8EE4BAF" wp14:editId="11231C52">
              <wp:simplePos x="0" y="0"/>
              <wp:positionH relativeFrom="column">
                <wp:posOffset>1905</wp:posOffset>
              </wp:positionH>
              <wp:positionV relativeFrom="page">
                <wp:posOffset>9674225</wp:posOffset>
              </wp:positionV>
              <wp:extent cx="3327149" cy="153909"/>
              <wp:effectExtent l="0" t="0" r="698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7149" cy="1539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768EC4" w14:textId="287D462D" w:rsidR="00105446" w:rsidRPr="00E371E2" w:rsidRDefault="00105446" w:rsidP="00105446">
                          <w:pPr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E371E2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© International Finance Corporation 2021. All rights reserved.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EE4B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15pt;margin-top:761.75pt;width:262pt;height:12.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" stroked="f">
              <v:textbox style="mso-fit-shape-to-text:t" inset="0,0,0,0">
                <w:txbxContent>
                  <w:p w14:paraId="67768EC4" w14:textId="287D462D" w:rsidR="00105446" w:rsidRPr="00E371E2" w:rsidRDefault="00105446" w:rsidP="00105446">
                    <w:pPr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E371E2">
                      <w:rPr>
                        <w:i/>
                        <w:iCs/>
                        <w:sz w:val="14"/>
                        <w:szCs w:val="14"/>
                      </w:rPr>
                      <w:t>© International Finance Corporation 2021. All rights reserved.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83C15">
      <w:rPr>
        <w:rFonts w:ascii="Fedra Sans Std Bold" w:hAnsi="Fedra Sans Std Bold" w:cs="Helv"/>
        <w:bCs/>
        <w:color w:val="00AEEF"/>
        <w:sz w:val="16"/>
        <w:szCs w:val="16"/>
      </w:rPr>
      <w:fldChar w:fldCharType="begin"/>
    </w:r>
    <w:r w:rsidR="00183C15">
      <w:rPr>
        <w:rFonts w:ascii="Fedra Sans Std Bold" w:hAnsi="Fedra Sans Std Bold" w:cs="Helv"/>
        <w:bCs/>
        <w:color w:val="00AEEF"/>
        <w:sz w:val="16"/>
        <w:szCs w:val="16"/>
      </w:rPr>
      <w:instrText xml:space="preserve"> PAGE   \* MERGEFORMAT </w:instrText>
    </w:r>
    <w:r w:rsidR="00183C15">
      <w:rPr>
        <w:rFonts w:ascii="Fedra Sans Std Bold" w:hAnsi="Fedra Sans Std Bold" w:cs="Helv"/>
        <w:bCs/>
        <w:color w:val="00AEEF"/>
        <w:sz w:val="16"/>
        <w:szCs w:val="16"/>
      </w:rPr>
      <w:fldChar w:fldCharType="separate"/>
    </w:r>
    <w:r w:rsidR="00183C15">
      <w:rPr>
        <w:rFonts w:ascii="Fedra Sans Std Bold" w:hAnsi="Fedra Sans Std Bold" w:cs="Helv"/>
        <w:bCs/>
        <w:color w:val="00AEEF"/>
        <w:sz w:val="16"/>
        <w:szCs w:val="16"/>
      </w:rPr>
      <w:t>1</w:t>
    </w:r>
    <w:r w:rsidR="00183C15">
      <w:rPr>
        <w:rFonts w:ascii="Fedra Sans Std Bold" w:hAnsi="Fedra Sans Std Bold" w:cs="Helv"/>
        <w:bCs/>
        <w:noProof/>
        <w:color w:val="00AEEF"/>
        <w:sz w:val="16"/>
        <w:szCs w:val="16"/>
      </w:rPr>
      <w:fldChar w:fldCharType="end"/>
    </w:r>
    <w:r w:rsidR="00183C15">
      <w:rPr>
        <w:rFonts w:ascii="Fedra Sans Std Bold" w:hAnsi="Fedra Sans Std Bold" w:cs="Helv"/>
        <w:bCs/>
        <w:noProof/>
        <w:color w:val="00AEEF"/>
        <w:sz w:val="16"/>
        <w:szCs w:val="16"/>
      </w:rPr>
      <w:t xml:space="preserve">   </w:t>
    </w:r>
    <w:r w:rsidR="00183C15" w:rsidRPr="00183C15">
      <w:rPr>
        <w:rFonts w:ascii="Fedra Sans Std Book" w:hAnsi="Fedra Sans Std Book" w:cs="Helv"/>
        <w:bCs/>
        <w:noProof/>
        <w:color w:val="000000" w:themeColor="text1"/>
        <w:sz w:val="16"/>
        <w:szCs w:val="16"/>
      </w:rPr>
      <w:t>IFC</w:t>
    </w:r>
    <w:r w:rsidR="00BE360D">
      <w:rPr>
        <w:rFonts w:ascii="Fedra Sans Std Book" w:hAnsi="Fedra Sans Std Book" w:cs="Helv"/>
        <w:bCs/>
        <w:noProof/>
        <w:color w:val="000000" w:themeColor="text1"/>
        <w:sz w:val="16"/>
        <w:szCs w:val="16"/>
      </w:rPr>
      <w:t>’s</w:t>
    </w:r>
    <w:r w:rsidR="00183C15" w:rsidRPr="00183C15">
      <w:rPr>
        <w:rFonts w:ascii="Fedra Sans Std Book" w:hAnsi="Fedra Sans Std Book" w:cs="Helv"/>
        <w:bCs/>
        <w:noProof/>
        <w:color w:val="000000" w:themeColor="text1"/>
        <w:sz w:val="16"/>
        <w:szCs w:val="16"/>
      </w:rPr>
      <w:t xml:space="preserve"> ESG Performance Indicators - FAQ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BEFB" w14:textId="77777777" w:rsidR="00201C22" w:rsidRDefault="00201C22" w:rsidP="009D1B55">
      <w:r>
        <w:separator/>
      </w:r>
    </w:p>
  </w:footnote>
  <w:footnote w:type="continuationSeparator" w:id="0">
    <w:p w14:paraId="2FB1E2B8" w14:textId="77777777" w:rsidR="00201C22" w:rsidRDefault="00201C22" w:rsidP="009D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57FF0"/>
    <w:multiLevelType w:val="hybridMultilevel"/>
    <w:tmpl w:val="F9D0407A"/>
    <w:lvl w:ilvl="0" w:tplc="A5204F06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52333"/>
    <w:multiLevelType w:val="hybridMultilevel"/>
    <w:tmpl w:val="07687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F029B"/>
    <w:multiLevelType w:val="hybridMultilevel"/>
    <w:tmpl w:val="2E9E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F63C0"/>
    <w:multiLevelType w:val="hybridMultilevel"/>
    <w:tmpl w:val="303A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A8"/>
    <w:rsid w:val="0000034C"/>
    <w:rsid w:val="00011DBB"/>
    <w:rsid w:val="00040064"/>
    <w:rsid w:val="00043115"/>
    <w:rsid w:val="00046AAB"/>
    <w:rsid w:val="000C5802"/>
    <w:rsid w:val="000C6368"/>
    <w:rsid w:val="000D5F19"/>
    <w:rsid w:val="000E2B81"/>
    <w:rsid w:val="00105446"/>
    <w:rsid w:val="00107929"/>
    <w:rsid w:val="00132BC7"/>
    <w:rsid w:val="00147162"/>
    <w:rsid w:val="00180F97"/>
    <w:rsid w:val="00183C15"/>
    <w:rsid w:val="001B547E"/>
    <w:rsid w:val="001C02DF"/>
    <w:rsid w:val="001C3FD1"/>
    <w:rsid w:val="001F02B6"/>
    <w:rsid w:val="001F21AB"/>
    <w:rsid w:val="002012D1"/>
    <w:rsid w:val="00201C22"/>
    <w:rsid w:val="00215C3E"/>
    <w:rsid w:val="00255BEA"/>
    <w:rsid w:val="00283493"/>
    <w:rsid w:val="002929CD"/>
    <w:rsid w:val="00294817"/>
    <w:rsid w:val="002A680B"/>
    <w:rsid w:val="002B26F4"/>
    <w:rsid w:val="002C378A"/>
    <w:rsid w:val="002D20C5"/>
    <w:rsid w:val="002D7E9F"/>
    <w:rsid w:val="002E307F"/>
    <w:rsid w:val="002E3B5A"/>
    <w:rsid w:val="00305E5A"/>
    <w:rsid w:val="00310078"/>
    <w:rsid w:val="00322A93"/>
    <w:rsid w:val="00325274"/>
    <w:rsid w:val="00331F0F"/>
    <w:rsid w:val="00351B85"/>
    <w:rsid w:val="00354AAA"/>
    <w:rsid w:val="00360704"/>
    <w:rsid w:val="00361FED"/>
    <w:rsid w:val="0037608F"/>
    <w:rsid w:val="00380C66"/>
    <w:rsid w:val="0039150C"/>
    <w:rsid w:val="00394F15"/>
    <w:rsid w:val="003D1DF6"/>
    <w:rsid w:val="003E5290"/>
    <w:rsid w:val="003F651B"/>
    <w:rsid w:val="00404CBD"/>
    <w:rsid w:val="00434E0A"/>
    <w:rsid w:val="00445459"/>
    <w:rsid w:val="00460762"/>
    <w:rsid w:val="00470178"/>
    <w:rsid w:val="0049016C"/>
    <w:rsid w:val="004A6C63"/>
    <w:rsid w:val="004C7A61"/>
    <w:rsid w:val="004E3609"/>
    <w:rsid w:val="004E3C0F"/>
    <w:rsid w:val="004E46AC"/>
    <w:rsid w:val="00527022"/>
    <w:rsid w:val="0053404B"/>
    <w:rsid w:val="005974F9"/>
    <w:rsid w:val="005B7F05"/>
    <w:rsid w:val="005C00BB"/>
    <w:rsid w:val="005D262E"/>
    <w:rsid w:val="005D5013"/>
    <w:rsid w:val="005D66DE"/>
    <w:rsid w:val="005D6925"/>
    <w:rsid w:val="00622E24"/>
    <w:rsid w:val="00626775"/>
    <w:rsid w:val="0063136C"/>
    <w:rsid w:val="006342D5"/>
    <w:rsid w:val="00635748"/>
    <w:rsid w:val="00635A06"/>
    <w:rsid w:val="006466AD"/>
    <w:rsid w:val="0064699A"/>
    <w:rsid w:val="0065070F"/>
    <w:rsid w:val="0069063D"/>
    <w:rsid w:val="006A70C3"/>
    <w:rsid w:val="006B62A2"/>
    <w:rsid w:val="006D02C3"/>
    <w:rsid w:val="006D101F"/>
    <w:rsid w:val="006F1067"/>
    <w:rsid w:val="0070582A"/>
    <w:rsid w:val="0070696A"/>
    <w:rsid w:val="00713C70"/>
    <w:rsid w:val="007508FA"/>
    <w:rsid w:val="00774D8B"/>
    <w:rsid w:val="00791E2B"/>
    <w:rsid w:val="0079799A"/>
    <w:rsid w:val="007D0DA5"/>
    <w:rsid w:val="00852E60"/>
    <w:rsid w:val="00860F98"/>
    <w:rsid w:val="0087374C"/>
    <w:rsid w:val="00874DD6"/>
    <w:rsid w:val="008805FF"/>
    <w:rsid w:val="0089411F"/>
    <w:rsid w:val="008A4F7E"/>
    <w:rsid w:val="008C1377"/>
    <w:rsid w:val="008C5719"/>
    <w:rsid w:val="008D0334"/>
    <w:rsid w:val="008E73D2"/>
    <w:rsid w:val="00955339"/>
    <w:rsid w:val="00955563"/>
    <w:rsid w:val="00961493"/>
    <w:rsid w:val="00972326"/>
    <w:rsid w:val="00983FB6"/>
    <w:rsid w:val="009A4EB2"/>
    <w:rsid w:val="009B16F6"/>
    <w:rsid w:val="009D1B55"/>
    <w:rsid w:val="009D420F"/>
    <w:rsid w:val="009D617B"/>
    <w:rsid w:val="009E6A47"/>
    <w:rsid w:val="00A05174"/>
    <w:rsid w:val="00A30216"/>
    <w:rsid w:val="00A63757"/>
    <w:rsid w:val="00AB2699"/>
    <w:rsid w:val="00AC2AAF"/>
    <w:rsid w:val="00B247B2"/>
    <w:rsid w:val="00B63FB1"/>
    <w:rsid w:val="00B648C8"/>
    <w:rsid w:val="00B94613"/>
    <w:rsid w:val="00BA51E9"/>
    <w:rsid w:val="00BB0BE9"/>
    <w:rsid w:val="00BC6622"/>
    <w:rsid w:val="00BC6B50"/>
    <w:rsid w:val="00BE360D"/>
    <w:rsid w:val="00BE6764"/>
    <w:rsid w:val="00BE77D7"/>
    <w:rsid w:val="00BE79F4"/>
    <w:rsid w:val="00C05F9C"/>
    <w:rsid w:val="00C37F06"/>
    <w:rsid w:val="00C903A0"/>
    <w:rsid w:val="00CB497F"/>
    <w:rsid w:val="00D10DA0"/>
    <w:rsid w:val="00D33E1D"/>
    <w:rsid w:val="00D404E4"/>
    <w:rsid w:val="00D533C3"/>
    <w:rsid w:val="00D6090F"/>
    <w:rsid w:val="00D61094"/>
    <w:rsid w:val="00D74FF9"/>
    <w:rsid w:val="00D75F42"/>
    <w:rsid w:val="00D96719"/>
    <w:rsid w:val="00DA5816"/>
    <w:rsid w:val="00DE6E69"/>
    <w:rsid w:val="00E004C8"/>
    <w:rsid w:val="00E26156"/>
    <w:rsid w:val="00E371E2"/>
    <w:rsid w:val="00E46EBE"/>
    <w:rsid w:val="00E57DA4"/>
    <w:rsid w:val="00E643CA"/>
    <w:rsid w:val="00E7004B"/>
    <w:rsid w:val="00E7154E"/>
    <w:rsid w:val="00E97204"/>
    <w:rsid w:val="00EA1991"/>
    <w:rsid w:val="00EA4D1C"/>
    <w:rsid w:val="00EA5DD0"/>
    <w:rsid w:val="00EF2B1A"/>
    <w:rsid w:val="00F00AAC"/>
    <w:rsid w:val="00F220CD"/>
    <w:rsid w:val="00F276A2"/>
    <w:rsid w:val="00F52DA8"/>
    <w:rsid w:val="00F776C7"/>
    <w:rsid w:val="00F80040"/>
    <w:rsid w:val="00F93254"/>
    <w:rsid w:val="00F97C34"/>
    <w:rsid w:val="00FB1EDD"/>
    <w:rsid w:val="00FB625C"/>
    <w:rsid w:val="00FD2E45"/>
    <w:rsid w:val="00FD55E3"/>
    <w:rsid w:val="00FF2371"/>
    <w:rsid w:val="0237FEA6"/>
    <w:rsid w:val="067A7C33"/>
    <w:rsid w:val="067FDC8E"/>
    <w:rsid w:val="06D63325"/>
    <w:rsid w:val="0C4AAE55"/>
    <w:rsid w:val="1761B317"/>
    <w:rsid w:val="1F2A8877"/>
    <w:rsid w:val="1FC50C85"/>
    <w:rsid w:val="20E0810E"/>
    <w:rsid w:val="24161588"/>
    <w:rsid w:val="2DFE88CE"/>
    <w:rsid w:val="3526D39E"/>
    <w:rsid w:val="373978AE"/>
    <w:rsid w:val="388BAB2C"/>
    <w:rsid w:val="3910A68B"/>
    <w:rsid w:val="3B037379"/>
    <w:rsid w:val="3D2F666E"/>
    <w:rsid w:val="416DF8BF"/>
    <w:rsid w:val="4A8690EA"/>
    <w:rsid w:val="4C6E598F"/>
    <w:rsid w:val="50C907BD"/>
    <w:rsid w:val="5169F97D"/>
    <w:rsid w:val="5A27FC00"/>
    <w:rsid w:val="629F7567"/>
    <w:rsid w:val="67EDA2B8"/>
    <w:rsid w:val="6AC56308"/>
    <w:rsid w:val="6BA250D0"/>
    <w:rsid w:val="6BAFDADD"/>
    <w:rsid w:val="6C4F9D9E"/>
    <w:rsid w:val="72C66F61"/>
    <w:rsid w:val="74DD5D0B"/>
    <w:rsid w:val="7614E538"/>
    <w:rsid w:val="7672736C"/>
    <w:rsid w:val="7CD3966E"/>
    <w:rsid w:val="7E0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9DD32A"/>
  <w15:chartTrackingRefBased/>
  <w15:docId w15:val="{799FFDAC-8F45-48A5-9707-84A16C3A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9F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D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5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05E5A"/>
    <w:pPr>
      <w:spacing w:before="100" w:beforeAutospacing="1" w:after="100" w:afterAutospacing="1"/>
    </w:pPr>
  </w:style>
  <w:style w:type="paragraph" w:styleId="ListParagraph">
    <w:name w:val="List Paragraph"/>
    <w:aliases w:val="Numbered Paragraph,Main numbered paragraph,Bullets,List Paragraph1,References,ReferencesCxSpLast,123 List Paragraph,Dot pt,List Paragraph (numbered (a)),Numbered List Paragraph,List Paragraph nowy,Liste 1,List_Paragraph,Multilevel para_II"/>
    <w:basedOn w:val="Normal"/>
    <w:link w:val="ListParagraphChar"/>
    <w:uiPriority w:val="34"/>
    <w:qFormat/>
    <w:rsid w:val="00305E5A"/>
    <w:pPr>
      <w:ind w:left="720"/>
      <w:contextualSpacing/>
    </w:pPr>
    <w:rPr>
      <w:lang w:val="en-GB"/>
    </w:rPr>
  </w:style>
  <w:style w:type="character" w:customStyle="1" w:styleId="ListParagraphChar">
    <w:name w:val="List Paragraph Char"/>
    <w:aliases w:val="Numbered Paragraph Char,Main numbered paragraph Char,Bullets Char,List Paragraph1 Char,References Char,ReferencesCxSpLast Char,123 List Paragraph Char,Dot pt Char,List Paragraph (numbered (a)) Char,Numbered List Paragraph Char"/>
    <w:link w:val="ListParagraph"/>
    <w:uiPriority w:val="34"/>
    <w:qFormat/>
    <w:rsid w:val="009D1B55"/>
    <w:rPr>
      <w:lang w:val="en-GB"/>
    </w:rPr>
  </w:style>
  <w:style w:type="paragraph" w:customStyle="1" w:styleId="Default">
    <w:name w:val="Default"/>
    <w:rsid w:val="004454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9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97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97F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32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799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574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74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3574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74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fc.org/wps/wcm/connect/topics_ext_content/ifc_external_corporate_site/ifc+cg/investment+services/corporate+governance+methodolog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fc.org/wps/wcm/connect/Topics_Ext_Content/IFC_External_Corporate_Site/Sustainability-At-IFC/Policies-Standards/Performance-Standards/" TargetMode="External"/><Relationship Id="rId17" Type="http://schemas.openxmlformats.org/officeDocument/2006/relationships/hyperlink" Target="https://www.ifc.org/wps/wcm/connect/topics_ext_content/ifc_external_corporate_site/ifc+cg/investment+services/corporate+governance+methodolog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fc.org/wps/wcm/connect/Topics_Ext_Content/IFC_External_Corporate_Site/Sustainability-At-IFC/Policies-Standards/Performance-Standard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fc.org/wps/wcm/connect/news_ext_content/ifc_external_corporate_site/news+and+events/news/impact-stories/how-ifc-has-changed-financ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fc.org/wps/wcm/connect/corp_ext_content/ifc_external_corporate_site/annual+report/financial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713A4EB442048A06C3AA2CEA9961E" ma:contentTypeVersion="12" ma:contentTypeDescription="Create a new document." ma:contentTypeScope="" ma:versionID="9da36e5ccb670610846ac45f8dc3856c">
  <xsd:schema xmlns:xsd="http://www.w3.org/2001/XMLSchema" xmlns:xs="http://www.w3.org/2001/XMLSchema" xmlns:p="http://schemas.microsoft.com/office/2006/metadata/properties" xmlns:ns3="57b2b7f9-4c0b-44cb-b3b6-88468719e202" xmlns:ns4="49eee8b3-a288-4285-8326-38b1ee44b0d4" targetNamespace="http://schemas.microsoft.com/office/2006/metadata/properties" ma:root="true" ma:fieldsID="93c9636f06e1c91d89b0125e36e7d854" ns3:_="" ns4:_="">
    <xsd:import namespace="57b2b7f9-4c0b-44cb-b3b6-88468719e202"/>
    <xsd:import namespace="49eee8b3-a288-4285-8326-38b1ee44b0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b7f9-4c0b-44cb-b3b6-88468719e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ee8b3-a288-4285-8326-38b1ee4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8B0BE-686B-48D0-8220-508B549AD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2b7f9-4c0b-44cb-b3b6-88468719e202"/>
    <ds:schemaRef ds:uri="49eee8b3-a288-4285-8326-38b1ee4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0B489-8AA2-4924-9D38-36C1F738A8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1E45F3-14CD-4B0E-B72F-B7A56F8BBD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D0C8B6-9717-4368-A91F-C6B28B0B3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Aditi Suresh Jagtiani</dc:creator>
  <cp:keywords/>
  <dc:description/>
  <cp:lastModifiedBy>alexey konkov</cp:lastModifiedBy>
  <cp:revision>10</cp:revision>
  <dcterms:created xsi:type="dcterms:W3CDTF">2021-06-17T20:41:00Z</dcterms:created>
  <dcterms:modified xsi:type="dcterms:W3CDTF">2021-06-18T17:57:00Z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0x010100740713A4EB442048A06C3AA2CEA9961E</vt:lpwstr>
  </property>
</Properties>
</file>