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5698A" w14:textId="77777777" w:rsidR="00CE597C" w:rsidRPr="00331083" w:rsidRDefault="00174877" w:rsidP="00BB0357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aps/>
          <w:color w:val="17365D" w:themeColor="text2" w:themeShade="BF"/>
          <w:sz w:val="26"/>
        </w:rPr>
      </w:pPr>
      <w:r w:rsidRPr="00331083">
        <w:rPr>
          <w:rFonts w:asciiTheme="majorHAnsi" w:hAnsiTheme="majorHAnsi"/>
          <w:b/>
          <w:caps/>
          <w:color w:val="17365D" w:themeColor="text2" w:themeShade="BF"/>
          <w:sz w:val="26"/>
        </w:rPr>
        <w:t>Beyond the balance sheet</w:t>
      </w:r>
      <w:r w:rsidR="00CE597C" w:rsidRPr="00331083">
        <w:rPr>
          <w:rFonts w:asciiTheme="majorHAnsi" w:hAnsiTheme="majorHAnsi"/>
          <w:b/>
          <w:caps/>
          <w:color w:val="17365D" w:themeColor="text2" w:themeShade="BF"/>
          <w:sz w:val="26"/>
        </w:rPr>
        <w:t xml:space="preserve"> </w:t>
      </w:r>
      <w:r w:rsidR="00E22BE7" w:rsidRPr="00331083">
        <w:rPr>
          <w:rFonts w:asciiTheme="majorHAnsi" w:hAnsiTheme="majorHAnsi"/>
          <w:b/>
          <w:caps/>
          <w:color w:val="17365D" w:themeColor="text2" w:themeShade="BF"/>
          <w:sz w:val="26"/>
        </w:rPr>
        <w:t>WEBINAR SERIES</w:t>
      </w:r>
    </w:p>
    <w:p w14:paraId="2A15698B" w14:textId="77777777" w:rsidR="00322F51" w:rsidRPr="00331083" w:rsidRDefault="002E3181" w:rsidP="00BB0357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17365D" w:themeColor="text2" w:themeShade="BF"/>
          <w:sz w:val="26"/>
        </w:rPr>
      </w:pPr>
      <w:r w:rsidRPr="00331083">
        <w:rPr>
          <w:rFonts w:asciiTheme="majorHAnsi" w:hAnsiTheme="majorHAnsi"/>
          <w:b/>
          <w:color w:val="17365D" w:themeColor="text2" w:themeShade="BF"/>
          <w:sz w:val="26"/>
        </w:rPr>
        <w:t>Building Intermediary Partner Capacities for</w:t>
      </w:r>
      <w:r w:rsidR="00E22BE7" w:rsidRPr="00331083">
        <w:rPr>
          <w:rFonts w:asciiTheme="majorHAnsi" w:hAnsiTheme="majorHAnsi"/>
          <w:b/>
          <w:color w:val="17365D" w:themeColor="text2" w:themeShade="BF"/>
          <w:sz w:val="26"/>
        </w:rPr>
        <w:t xml:space="preserve"> </w:t>
      </w:r>
      <w:r w:rsidR="000C08E1" w:rsidRPr="00331083">
        <w:rPr>
          <w:rFonts w:asciiTheme="majorHAnsi" w:hAnsiTheme="majorHAnsi"/>
          <w:b/>
          <w:color w:val="17365D" w:themeColor="text2" w:themeShade="BF"/>
          <w:sz w:val="26"/>
        </w:rPr>
        <w:t>ESG</w:t>
      </w:r>
      <w:r w:rsidR="00E22BE7" w:rsidRPr="00331083">
        <w:rPr>
          <w:rFonts w:asciiTheme="majorHAnsi" w:hAnsiTheme="majorHAnsi"/>
          <w:b/>
          <w:color w:val="17365D" w:themeColor="text2" w:themeShade="BF"/>
          <w:sz w:val="26"/>
        </w:rPr>
        <w:t xml:space="preserve"> Disclosure and Transparency</w:t>
      </w:r>
    </w:p>
    <w:p w14:paraId="2A15698C" w14:textId="77777777" w:rsidR="00331083" w:rsidRDefault="00C27FBD" w:rsidP="001D31B5">
      <w:pPr>
        <w:pStyle w:val="NormalWeb"/>
        <w:spacing w:beforeLines="50" w:before="120" w:after="2"/>
        <w:rPr>
          <w:rFonts w:asciiTheme="majorHAnsi" w:hAnsiTheme="majorHAnsi"/>
          <w:sz w:val="24"/>
        </w:rPr>
      </w:pPr>
      <w:r w:rsidRPr="00ED47AE">
        <w:rPr>
          <w:rFonts w:asciiTheme="majorHAnsi" w:hAnsiTheme="majorHAnsi"/>
          <w:sz w:val="24"/>
        </w:rPr>
        <w:t>What are the pathways</w:t>
      </w:r>
      <w:r w:rsidR="000F6911">
        <w:rPr>
          <w:rFonts w:asciiTheme="majorHAnsi" w:hAnsiTheme="majorHAnsi"/>
          <w:sz w:val="24"/>
        </w:rPr>
        <w:t xml:space="preserve"> </w:t>
      </w:r>
      <w:r w:rsidRPr="00ED47AE">
        <w:rPr>
          <w:rFonts w:asciiTheme="majorHAnsi" w:hAnsiTheme="majorHAnsi"/>
          <w:sz w:val="24"/>
        </w:rPr>
        <w:t>toward more</w:t>
      </w:r>
      <w:r w:rsidR="003D114A" w:rsidRPr="00ED47AE">
        <w:rPr>
          <w:rFonts w:asciiTheme="majorHAnsi" w:hAnsiTheme="majorHAnsi"/>
          <w:sz w:val="24"/>
        </w:rPr>
        <w:t xml:space="preserve"> </w:t>
      </w:r>
      <w:r w:rsidR="00DD623A" w:rsidRPr="00ED47AE">
        <w:rPr>
          <w:rFonts w:asciiTheme="majorHAnsi" w:hAnsiTheme="majorHAnsi"/>
          <w:sz w:val="24"/>
        </w:rPr>
        <w:t>transparent</w:t>
      </w:r>
      <w:r w:rsidR="003D114A" w:rsidRPr="00ED47AE">
        <w:rPr>
          <w:rFonts w:asciiTheme="majorHAnsi" w:hAnsiTheme="majorHAnsi"/>
          <w:sz w:val="24"/>
        </w:rPr>
        <w:t xml:space="preserve"> </w:t>
      </w:r>
      <w:r w:rsidRPr="00ED47AE">
        <w:rPr>
          <w:rFonts w:asciiTheme="majorHAnsi" w:hAnsiTheme="majorHAnsi"/>
          <w:sz w:val="24"/>
        </w:rPr>
        <w:t xml:space="preserve">ESG disclosure </w:t>
      </w:r>
      <w:r w:rsidR="00DD623A" w:rsidRPr="00ED47AE">
        <w:rPr>
          <w:rFonts w:asciiTheme="majorHAnsi" w:hAnsiTheme="majorHAnsi"/>
          <w:sz w:val="24"/>
        </w:rPr>
        <w:t>in emerging markets</w:t>
      </w:r>
      <w:r w:rsidRPr="00ED47AE">
        <w:rPr>
          <w:rFonts w:asciiTheme="majorHAnsi" w:hAnsiTheme="majorHAnsi"/>
          <w:sz w:val="24"/>
        </w:rPr>
        <w:t>?</w:t>
      </w:r>
      <w:r w:rsidR="00DC611F" w:rsidRPr="00ED47AE">
        <w:rPr>
          <w:rFonts w:asciiTheme="majorHAnsi" w:hAnsiTheme="majorHAnsi"/>
          <w:sz w:val="24"/>
        </w:rPr>
        <w:t xml:space="preserve">  </w:t>
      </w:r>
      <w:r w:rsidR="00331083">
        <w:rPr>
          <w:rFonts w:asciiTheme="majorHAnsi" w:hAnsiTheme="majorHAnsi"/>
          <w:sz w:val="24"/>
        </w:rPr>
        <w:t xml:space="preserve">IFC’s </w:t>
      </w:r>
      <w:r w:rsidR="008C3F20">
        <w:rPr>
          <w:rFonts w:asciiTheme="majorHAnsi" w:hAnsiTheme="majorHAnsi"/>
          <w:sz w:val="24"/>
        </w:rPr>
        <w:t>capacity building initiatives</w:t>
      </w:r>
      <w:r w:rsidR="00331083">
        <w:rPr>
          <w:rFonts w:asciiTheme="majorHAnsi" w:hAnsiTheme="majorHAnsi"/>
          <w:sz w:val="24"/>
        </w:rPr>
        <w:t xml:space="preserve"> help</w:t>
      </w:r>
      <w:r w:rsidR="00924235">
        <w:rPr>
          <w:rFonts w:asciiTheme="majorHAnsi" w:hAnsiTheme="majorHAnsi"/>
          <w:sz w:val="24"/>
        </w:rPr>
        <w:t xml:space="preserve"> partner institutions and</w:t>
      </w:r>
      <w:r w:rsidR="00331083">
        <w:rPr>
          <w:rFonts w:asciiTheme="majorHAnsi" w:hAnsiTheme="majorHAnsi"/>
          <w:sz w:val="24"/>
        </w:rPr>
        <w:t xml:space="preserve"> </w:t>
      </w:r>
      <w:r w:rsidR="00331083" w:rsidRPr="00ED47AE">
        <w:rPr>
          <w:rFonts w:asciiTheme="majorHAnsi" w:hAnsiTheme="majorHAnsi"/>
          <w:iCs/>
          <w:color w:val="0F243E" w:themeColor="text2" w:themeShade="80"/>
          <w:sz w:val="24"/>
        </w:rPr>
        <w:t xml:space="preserve">emerging market </w:t>
      </w:r>
      <w:r w:rsidR="00331083">
        <w:rPr>
          <w:rFonts w:asciiTheme="majorHAnsi" w:hAnsiTheme="majorHAnsi"/>
          <w:iCs/>
          <w:color w:val="0F243E" w:themeColor="text2" w:themeShade="80"/>
          <w:sz w:val="24"/>
        </w:rPr>
        <w:t xml:space="preserve">enterprises </w:t>
      </w:r>
      <w:r w:rsidR="00331083" w:rsidRPr="00ED47AE">
        <w:rPr>
          <w:rFonts w:asciiTheme="majorHAnsi" w:hAnsiTheme="majorHAnsi"/>
          <w:iCs/>
          <w:color w:val="0F243E" w:themeColor="text2" w:themeShade="80"/>
          <w:sz w:val="24"/>
        </w:rPr>
        <w:t>customize their disclosure</w:t>
      </w:r>
      <w:r w:rsidR="00331083">
        <w:rPr>
          <w:rFonts w:asciiTheme="majorHAnsi" w:hAnsiTheme="majorHAnsi"/>
          <w:iCs/>
          <w:color w:val="0F243E" w:themeColor="text2" w:themeShade="80"/>
          <w:sz w:val="24"/>
        </w:rPr>
        <w:t xml:space="preserve"> </w:t>
      </w:r>
      <w:r w:rsidR="00331083" w:rsidRPr="00ED47AE">
        <w:rPr>
          <w:rFonts w:asciiTheme="majorHAnsi" w:hAnsiTheme="majorHAnsi"/>
          <w:iCs/>
          <w:color w:val="0F243E" w:themeColor="text2" w:themeShade="80"/>
          <w:sz w:val="24"/>
        </w:rPr>
        <w:t xml:space="preserve">of strategic, governance, and performance information in a progressive way-- depending on the organization’s size, complexity, and operational context. </w:t>
      </w:r>
    </w:p>
    <w:p w14:paraId="2A15698D" w14:textId="77777777" w:rsidR="00331083" w:rsidRPr="0081334B" w:rsidRDefault="00F01EDC" w:rsidP="001D31B5">
      <w:pPr>
        <w:pStyle w:val="NormalWeb"/>
        <w:spacing w:beforeLines="50" w:before="120" w:after="2"/>
        <w:rPr>
          <w:rFonts w:asciiTheme="majorHAnsi" w:hAnsiTheme="majorHAnsi"/>
          <w:iCs/>
          <w:color w:val="0F243E" w:themeColor="text2" w:themeShade="80"/>
          <w:sz w:val="24"/>
        </w:rPr>
      </w:pPr>
      <w:r w:rsidRPr="00ED47AE">
        <w:rPr>
          <w:rFonts w:asciiTheme="majorHAnsi" w:hAnsiTheme="majorHAnsi"/>
          <w:sz w:val="24"/>
        </w:rPr>
        <w:t>In the Europe and Central Asia re</w:t>
      </w:r>
      <w:r w:rsidR="006365C7">
        <w:rPr>
          <w:rFonts w:asciiTheme="majorHAnsi" w:hAnsiTheme="majorHAnsi"/>
          <w:sz w:val="24"/>
        </w:rPr>
        <w:t xml:space="preserve">gion, </w:t>
      </w:r>
      <w:r w:rsidR="00686528" w:rsidRPr="00ED47AE">
        <w:rPr>
          <w:rFonts w:asciiTheme="majorHAnsi" w:hAnsiTheme="majorHAnsi"/>
          <w:sz w:val="24"/>
        </w:rPr>
        <w:t>IFC’s</w:t>
      </w:r>
      <w:r w:rsidR="00677442" w:rsidRPr="00ED47AE">
        <w:rPr>
          <w:rFonts w:asciiTheme="majorHAnsi" w:hAnsiTheme="majorHAnsi"/>
          <w:sz w:val="24"/>
        </w:rPr>
        <w:t xml:space="preserve"> </w:t>
      </w:r>
      <w:r w:rsidR="001F7566" w:rsidRPr="00ED47AE">
        <w:rPr>
          <w:rFonts w:asciiTheme="majorHAnsi" w:hAnsiTheme="majorHAnsi"/>
          <w:sz w:val="24"/>
        </w:rPr>
        <w:t>ESG Standards Team</w:t>
      </w:r>
      <w:r w:rsidR="00807F1A" w:rsidRPr="00ED47AE">
        <w:rPr>
          <w:rFonts w:asciiTheme="majorHAnsi" w:hAnsiTheme="majorHAnsi"/>
          <w:sz w:val="24"/>
        </w:rPr>
        <w:t xml:space="preserve"> organized a</w:t>
      </w:r>
      <w:r w:rsidR="001F7566" w:rsidRPr="00ED47AE">
        <w:rPr>
          <w:rFonts w:asciiTheme="majorHAnsi" w:hAnsiTheme="majorHAnsi"/>
          <w:sz w:val="24"/>
        </w:rPr>
        <w:t xml:space="preserve"> </w:t>
      </w:r>
      <w:r w:rsidR="002E3181" w:rsidRPr="00ED47AE">
        <w:rPr>
          <w:rFonts w:asciiTheme="majorHAnsi" w:hAnsiTheme="majorHAnsi"/>
          <w:sz w:val="24"/>
        </w:rPr>
        <w:t>three-</w:t>
      </w:r>
      <w:r w:rsidR="00807F1A" w:rsidRPr="00ED47AE">
        <w:rPr>
          <w:rFonts w:asciiTheme="majorHAnsi" w:hAnsiTheme="majorHAnsi"/>
          <w:sz w:val="24"/>
        </w:rPr>
        <w:t xml:space="preserve">week </w:t>
      </w:r>
      <w:r w:rsidR="00A278F1" w:rsidRPr="00ED47AE">
        <w:rPr>
          <w:rFonts w:asciiTheme="majorHAnsi" w:hAnsiTheme="majorHAnsi"/>
          <w:sz w:val="24"/>
        </w:rPr>
        <w:t xml:space="preserve">D&amp;T </w:t>
      </w:r>
      <w:r w:rsidR="002E3181" w:rsidRPr="00ED47AE">
        <w:rPr>
          <w:rFonts w:asciiTheme="majorHAnsi" w:hAnsiTheme="majorHAnsi"/>
          <w:sz w:val="24"/>
        </w:rPr>
        <w:t>webinar series</w:t>
      </w:r>
      <w:r w:rsidR="006365C7">
        <w:rPr>
          <w:rFonts w:asciiTheme="majorHAnsi" w:hAnsiTheme="majorHAnsi"/>
          <w:sz w:val="24"/>
        </w:rPr>
        <w:t xml:space="preserve"> </w:t>
      </w:r>
      <w:r w:rsidR="001712DB" w:rsidRPr="00ED47AE">
        <w:rPr>
          <w:rFonts w:asciiTheme="majorHAnsi" w:hAnsiTheme="majorHAnsi"/>
          <w:sz w:val="24"/>
        </w:rPr>
        <w:t>to</w:t>
      </w:r>
      <w:r w:rsidRPr="00ED47AE">
        <w:rPr>
          <w:rFonts w:asciiTheme="majorHAnsi" w:hAnsiTheme="majorHAnsi"/>
          <w:sz w:val="24"/>
        </w:rPr>
        <w:t xml:space="preserve"> </w:t>
      </w:r>
      <w:r w:rsidR="006365C7">
        <w:rPr>
          <w:rFonts w:asciiTheme="majorHAnsi" w:hAnsiTheme="majorHAnsi"/>
          <w:sz w:val="24"/>
        </w:rPr>
        <w:t xml:space="preserve">strengthen regional </w:t>
      </w:r>
      <w:r w:rsidR="000F6911" w:rsidRPr="00ED47AE">
        <w:rPr>
          <w:rFonts w:asciiTheme="majorHAnsi" w:hAnsiTheme="majorHAnsi"/>
          <w:sz w:val="24"/>
        </w:rPr>
        <w:t xml:space="preserve">capacities to </w:t>
      </w:r>
      <w:r w:rsidR="008A33E7">
        <w:rPr>
          <w:rFonts w:asciiTheme="majorHAnsi" w:hAnsiTheme="majorHAnsi"/>
          <w:sz w:val="24"/>
        </w:rPr>
        <w:t>customize</w:t>
      </w:r>
      <w:r w:rsidR="000F6911" w:rsidRPr="00ED47AE">
        <w:rPr>
          <w:rFonts w:asciiTheme="majorHAnsi" w:hAnsiTheme="majorHAnsi"/>
          <w:sz w:val="24"/>
        </w:rPr>
        <w:t xml:space="preserve"> consulting and training services on</w:t>
      </w:r>
      <w:r w:rsidR="00331083">
        <w:rPr>
          <w:rFonts w:asciiTheme="majorHAnsi" w:hAnsiTheme="majorHAnsi"/>
          <w:sz w:val="24"/>
        </w:rPr>
        <w:t xml:space="preserve"> </w:t>
      </w:r>
      <w:r w:rsidR="000F6911">
        <w:rPr>
          <w:rFonts w:asciiTheme="majorHAnsi" w:hAnsiTheme="majorHAnsi" w:cs="Arial"/>
          <w:sz w:val="24"/>
          <w:szCs w:val="22"/>
          <w:lang w:val="en-GB"/>
        </w:rPr>
        <w:t xml:space="preserve">sustainability </w:t>
      </w:r>
      <w:r w:rsidR="00331083">
        <w:rPr>
          <w:rFonts w:asciiTheme="majorHAnsi" w:hAnsiTheme="majorHAnsi" w:cs="Arial"/>
          <w:sz w:val="24"/>
          <w:szCs w:val="22"/>
          <w:lang w:val="en-GB"/>
        </w:rPr>
        <w:t>reporting and communication</w:t>
      </w:r>
      <w:r w:rsidR="000F6911" w:rsidRPr="00ED47AE">
        <w:rPr>
          <w:rFonts w:asciiTheme="majorHAnsi" w:hAnsiTheme="majorHAnsi" w:cs="Arial"/>
          <w:sz w:val="24"/>
          <w:szCs w:val="22"/>
          <w:lang w:val="en-GB"/>
        </w:rPr>
        <w:t xml:space="preserve">.  </w:t>
      </w:r>
      <w:r w:rsidR="003530AE" w:rsidRPr="00ED47AE">
        <w:rPr>
          <w:rFonts w:asciiTheme="majorHAnsi" w:hAnsiTheme="majorHAnsi" w:cstheme="minorHAnsi"/>
          <w:bCs/>
          <w:sz w:val="24"/>
        </w:rPr>
        <w:t xml:space="preserve">Building upon </w:t>
      </w:r>
      <w:r w:rsidR="003530AE" w:rsidRPr="00ED47AE">
        <w:rPr>
          <w:rFonts w:asciiTheme="majorHAnsi" w:hAnsiTheme="majorHAnsi"/>
          <w:iCs/>
          <w:color w:val="0F243E" w:themeColor="text2" w:themeShade="80"/>
          <w:sz w:val="24"/>
        </w:rPr>
        <w:t xml:space="preserve">the success of IFC’s award-winning </w:t>
      </w:r>
      <w:r w:rsidR="0081334B" w:rsidRPr="00ED47AE">
        <w:rPr>
          <w:rFonts w:asciiTheme="majorHAnsi" w:hAnsiTheme="majorHAnsi"/>
          <w:iCs/>
          <w:color w:val="0F243E" w:themeColor="text2" w:themeShade="80"/>
          <w:sz w:val="24"/>
        </w:rPr>
        <w:t>“B</w:t>
      </w:r>
      <w:r w:rsidR="0081334B">
        <w:rPr>
          <w:rFonts w:asciiTheme="majorHAnsi" w:hAnsiTheme="majorHAnsi"/>
          <w:iCs/>
          <w:color w:val="0F243E" w:themeColor="text2" w:themeShade="80"/>
          <w:sz w:val="24"/>
        </w:rPr>
        <w:t xml:space="preserve">eyond the Balance Sheet” </w:t>
      </w:r>
      <w:r w:rsidR="008A33E7">
        <w:rPr>
          <w:rFonts w:asciiTheme="majorHAnsi" w:hAnsiTheme="majorHAnsi"/>
          <w:iCs/>
          <w:color w:val="0F243E" w:themeColor="text2" w:themeShade="80"/>
          <w:sz w:val="24"/>
        </w:rPr>
        <w:t>disclosure and t</w:t>
      </w:r>
      <w:r w:rsidR="000F342E" w:rsidRPr="00ED47AE">
        <w:rPr>
          <w:rFonts w:asciiTheme="majorHAnsi" w:hAnsiTheme="majorHAnsi"/>
          <w:iCs/>
          <w:color w:val="0F243E" w:themeColor="text2" w:themeShade="80"/>
          <w:sz w:val="24"/>
        </w:rPr>
        <w:t xml:space="preserve">ransparency </w:t>
      </w:r>
      <w:r w:rsidR="008A33E7">
        <w:rPr>
          <w:rFonts w:asciiTheme="majorHAnsi" w:hAnsiTheme="majorHAnsi"/>
          <w:iCs/>
          <w:color w:val="0F243E" w:themeColor="text2" w:themeShade="80"/>
          <w:sz w:val="24"/>
        </w:rPr>
        <w:t>(D&amp;T) t</w:t>
      </w:r>
      <w:r w:rsidR="003530AE" w:rsidRPr="00ED47AE">
        <w:rPr>
          <w:rFonts w:asciiTheme="majorHAnsi" w:hAnsiTheme="majorHAnsi"/>
          <w:iCs/>
          <w:color w:val="0F243E" w:themeColor="text2" w:themeShade="80"/>
          <w:sz w:val="24"/>
        </w:rPr>
        <w:t>oolkit</w:t>
      </w:r>
      <w:r w:rsidR="008A33E7">
        <w:rPr>
          <w:rFonts w:asciiTheme="majorHAnsi" w:hAnsiTheme="majorHAnsi"/>
          <w:iCs/>
          <w:color w:val="0F243E" w:themeColor="text2" w:themeShade="80"/>
          <w:sz w:val="24"/>
        </w:rPr>
        <w:t xml:space="preserve"> and program, this </w:t>
      </w:r>
      <w:r w:rsidR="008A33E7">
        <w:rPr>
          <w:rFonts w:asciiTheme="majorHAnsi" w:hAnsiTheme="majorHAnsi"/>
          <w:sz w:val="24"/>
          <w:szCs w:val="22"/>
        </w:rPr>
        <w:t>webinar s</w:t>
      </w:r>
      <w:r w:rsidR="00331083" w:rsidRPr="0081334B">
        <w:rPr>
          <w:rFonts w:asciiTheme="majorHAnsi" w:hAnsiTheme="majorHAnsi"/>
          <w:sz w:val="24"/>
          <w:szCs w:val="22"/>
        </w:rPr>
        <w:t xml:space="preserve">eries was developed jointly by the International Finance Corporation (IFC) and UN Sustainable Stock Exchanges Initiative (UN SSE), in partnership with the Swiss State Secretariat for Economic Affairs (SECO).  </w:t>
      </w:r>
    </w:p>
    <w:p w14:paraId="56144AFD" w14:textId="77777777" w:rsidR="00960C0D" w:rsidRDefault="00517001" w:rsidP="00E7719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inorHAnsi"/>
          <w:sz w:val="24"/>
        </w:rPr>
      </w:pPr>
      <w:r w:rsidRPr="00CD3AA5">
        <w:rPr>
          <w:rFonts w:asciiTheme="majorHAnsi" w:hAnsiTheme="majorHAnsi" w:cs="Arial"/>
          <w:sz w:val="24"/>
          <w:szCs w:val="22"/>
          <w:lang w:val="en-GB"/>
        </w:rPr>
        <w:t xml:space="preserve">IFC </w:t>
      </w:r>
      <w:r w:rsidR="00924235" w:rsidRPr="00CD3AA5">
        <w:rPr>
          <w:rFonts w:asciiTheme="majorHAnsi" w:hAnsiTheme="majorHAnsi" w:cs="Arial"/>
          <w:sz w:val="24"/>
          <w:szCs w:val="22"/>
          <w:lang w:val="en-GB"/>
        </w:rPr>
        <w:t xml:space="preserve">coordinated with 15 </w:t>
      </w:r>
      <w:r w:rsidRPr="00CD3AA5">
        <w:rPr>
          <w:rFonts w:asciiTheme="majorHAnsi" w:hAnsiTheme="majorHAnsi" w:cs="Arial"/>
          <w:sz w:val="24"/>
          <w:szCs w:val="22"/>
          <w:lang w:val="en-GB"/>
        </w:rPr>
        <w:t xml:space="preserve">partner institutions </w:t>
      </w:r>
      <w:r w:rsidR="00924235" w:rsidRPr="00CD3AA5">
        <w:rPr>
          <w:rFonts w:asciiTheme="majorHAnsi" w:hAnsiTheme="majorHAnsi" w:cstheme="minorHAnsi"/>
          <w:sz w:val="24"/>
        </w:rPr>
        <w:t>to conduct</w:t>
      </w:r>
      <w:r w:rsidRPr="00CD3AA5">
        <w:rPr>
          <w:rFonts w:asciiTheme="majorHAnsi" w:hAnsiTheme="majorHAnsi" w:cstheme="minorHAnsi"/>
          <w:sz w:val="24"/>
        </w:rPr>
        <w:t xml:space="preserve"> this intensive three-week </w:t>
      </w:r>
      <w:r w:rsidR="00924235" w:rsidRPr="00CD3AA5">
        <w:rPr>
          <w:rFonts w:asciiTheme="majorHAnsi" w:hAnsiTheme="majorHAnsi" w:cstheme="minorHAnsi"/>
          <w:sz w:val="24"/>
        </w:rPr>
        <w:t xml:space="preserve">D&amp;T </w:t>
      </w:r>
      <w:r w:rsidRPr="00CD3AA5">
        <w:rPr>
          <w:rFonts w:asciiTheme="majorHAnsi" w:hAnsiTheme="majorHAnsi" w:cstheme="minorHAnsi"/>
          <w:sz w:val="24"/>
        </w:rPr>
        <w:t>training</w:t>
      </w:r>
      <w:r w:rsidR="00924235" w:rsidRPr="00CD3AA5">
        <w:rPr>
          <w:rFonts w:asciiTheme="majorHAnsi" w:hAnsiTheme="majorHAnsi" w:cstheme="minorHAnsi"/>
          <w:sz w:val="24"/>
        </w:rPr>
        <w:t xml:space="preserve">, which fully engaged </w:t>
      </w:r>
      <w:r w:rsidR="00060924" w:rsidRPr="00CD3AA5">
        <w:rPr>
          <w:rFonts w:asciiTheme="majorHAnsi" w:hAnsiTheme="majorHAnsi" w:cstheme="minorHAnsi"/>
          <w:sz w:val="24"/>
        </w:rPr>
        <w:t xml:space="preserve">40 </w:t>
      </w:r>
      <w:r w:rsidR="00924235" w:rsidRPr="00CD3AA5">
        <w:rPr>
          <w:rFonts w:asciiTheme="majorHAnsi" w:hAnsiTheme="majorHAnsi" w:cstheme="minorHAnsi"/>
          <w:sz w:val="24"/>
        </w:rPr>
        <w:t xml:space="preserve">participants from </w:t>
      </w:r>
      <w:r w:rsidR="00924235" w:rsidRPr="00CD3AA5">
        <w:rPr>
          <w:rFonts w:asciiTheme="majorHAnsi" w:hAnsiTheme="majorHAnsi" w:cs="Arial"/>
          <w:sz w:val="24"/>
          <w:szCs w:val="22"/>
          <w:lang w:val="en-GB"/>
        </w:rPr>
        <w:t>seven ECA countries: Georgia, Serbia, Turkey</w:t>
      </w:r>
      <w:r w:rsidR="00060924" w:rsidRPr="00CD3AA5">
        <w:rPr>
          <w:rFonts w:asciiTheme="majorHAnsi" w:hAnsiTheme="majorHAnsi" w:cs="Arial"/>
          <w:sz w:val="24"/>
          <w:szCs w:val="22"/>
          <w:lang w:val="en-GB"/>
        </w:rPr>
        <w:t>, Kyrgyzstan, Tajikistan, Kosovo</w:t>
      </w:r>
      <w:r w:rsidR="00CD3AA5" w:rsidRPr="00CD3AA5">
        <w:rPr>
          <w:rFonts w:asciiTheme="majorHAnsi" w:hAnsiTheme="majorHAnsi" w:cs="Arial"/>
          <w:sz w:val="24"/>
          <w:szCs w:val="22"/>
          <w:lang w:val="en-GB"/>
        </w:rPr>
        <w:t>, Ukraine</w:t>
      </w:r>
      <w:r w:rsidR="00924235" w:rsidRPr="00CD3AA5">
        <w:rPr>
          <w:rFonts w:asciiTheme="majorHAnsi" w:hAnsiTheme="majorHAnsi" w:cstheme="minorHAnsi"/>
          <w:sz w:val="24"/>
        </w:rPr>
        <w:t>.</w:t>
      </w:r>
      <w:r w:rsidR="00924235">
        <w:rPr>
          <w:rFonts w:asciiTheme="majorHAnsi" w:hAnsiTheme="majorHAnsi" w:cstheme="minorHAnsi"/>
          <w:sz w:val="24"/>
        </w:rPr>
        <w:t xml:space="preserve">  </w:t>
      </w:r>
    </w:p>
    <w:p w14:paraId="2A15698E" w14:textId="0D4CCAFF" w:rsidR="00BB2B1A" w:rsidRPr="00E77193" w:rsidRDefault="001712DB" w:rsidP="00E7719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inorHAnsi"/>
          <w:b/>
          <w:sz w:val="24"/>
        </w:rPr>
      </w:pPr>
      <w:r w:rsidRPr="00924235">
        <w:rPr>
          <w:rFonts w:asciiTheme="majorHAnsi" w:hAnsiTheme="majorHAnsi" w:cs="Arial"/>
          <w:sz w:val="24"/>
          <w:szCs w:val="22"/>
          <w:lang w:val="en-GB"/>
        </w:rPr>
        <w:t xml:space="preserve">Topics and </w:t>
      </w:r>
      <w:r w:rsidR="00714CDA" w:rsidRPr="00924235">
        <w:rPr>
          <w:rFonts w:asciiTheme="majorHAnsi" w:hAnsiTheme="majorHAnsi"/>
          <w:sz w:val="24"/>
        </w:rPr>
        <w:t>k</w:t>
      </w:r>
      <w:r w:rsidR="00BB2B1A" w:rsidRPr="00924235">
        <w:rPr>
          <w:rFonts w:asciiTheme="majorHAnsi" w:hAnsiTheme="majorHAnsi"/>
          <w:sz w:val="24"/>
        </w:rPr>
        <w:t>ey</w:t>
      </w:r>
      <w:r w:rsidRPr="00924235">
        <w:rPr>
          <w:rFonts w:asciiTheme="majorHAnsi" w:hAnsiTheme="majorHAnsi"/>
          <w:sz w:val="24"/>
        </w:rPr>
        <w:t xml:space="preserve"> questions addressed during</w:t>
      </w:r>
      <w:r w:rsidR="001F7A67" w:rsidRPr="00924235">
        <w:rPr>
          <w:rFonts w:asciiTheme="majorHAnsi" w:hAnsiTheme="majorHAnsi"/>
          <w:sz w:val="24"/>
        </w:rPr>
        <w:t xml:space="preserve"> the June 9, 16 and 23, 2021</w:t>
      </w:r>
      <w:r w:rsidRPr="00924235">
        <w:rPr>
          <w:rFonts w:asciiTheme="majorHAnsi" w:hAnsiTheme="majorHAnsi"/>
          <w:sz w:val="24"/>
        </w:rPr>
        <w:t xml:space="preserve"> </w:t>
      </w:r>
      <w:r w:rsidR="00714CDA" w:rsidRPr="00924235">
        <w:rPr>
          <w:rFonts w:asciiTheme="majorHAnsi" w:hAnsiTheme="majorHAnsi"/>
          <w:sz w:val="24"/>
        </w:rPr>
        <w:t xml:space="preserve">webinar sessions </w:t>
      </w:r>
      <w:r w:rsidR="00BB2B1A" w:rsidRPr="00924235">
        <w:rPr>
          <w:rFonts w:asciiTheme="majorHAnsi" w:hAnsiTheme="majorHAnsi"/>
          <w:sz w:val="24"/>
        </w:rPr>
        <w:t>included:</w:t>
      </w:r>
    </w:p>
    <w:p w14:paraId="2A15698F" w14:textId="77777777" w:rsidR="001712DB" w:rsidRPr="00ED47AE" w:rsidRDefault="00E77193" w:rsidP="00A278F1">
      <w:pPr>
        <w:pStyle w:val="NormalWeb"/>
        <w:tabs>
          <w:tab w:val="left" w:pos="8595"/>
        </w:tabs>
        <w:spacing w:beforeLines="0" w:after="2"/>
        <w:ind w:left="360" w:right="-45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bCs/>
          <w:sz w:val="24"/>
          <w:szCs w:val="22"/>
        </w:rPr>
        <w:t>C</w:t>
      </w:r>
      <w:r w:rsidR="000F6911">
        <w:rPr>
          <w:rFonts w:asciiTheme="majorHAnsi" w:hAnsiTheme="majorHAnsi"/>
          <w:b/>
          <w:bCs/>
          <w:sz w:val="24"/>
          <w:szCs w:val="22"/>
        </w:rPr>
        <w:t>ase for D&amp;T</w:t>
      </w:r>
      <w:r w:rsidR="00ED47AE" w:rsidRPr="00ED47AE">
        <w:rPr>
          <w:rFonts w:asciiTheme="majorHAnsi" w:hAnsiTheme="majorHAnsi"/>
          <w:b/>
          <w:bCs/>
          <w:sz w:val="24"/>
          <w:szCs w:val="22"/>
        </w:rPr>
        <w:t>:</w:t>
      </w:r>
      <w:r w:rsidR="001712DB" w:rsidRPr="00ED47AE">
        <w:rPr>
          <w:rFonts w:asciiTheme="majorHAnsi" w:hAnsiTheme="majorHAnsi"/>
          <w:bCs/>
          <w:sz w:val="24"/>
          <w:szCs w:val="22"/>
        </w:rPr>
        <w:t xml:space="preserve">  How</w:t>
      </w:r>
      <w:r w:rsidR="00130CB1" w:rsidRPr="00ED47AE">
        <w:rPr>
          <w:rFonts w:asciiTheme="majorHAnsi" w:hAnsiTheme="majorHAnsi"/>
          <w:bCs/>
          <w:sz w:val="24"/>
          <w:szCs w:val="22"/>
        </w:rPr>
        <w:t xml:space="preserve"> do</w:t>
      </w:r>
      <w:r w:rsidR="00331083">
        <w:rPr>
          <w:rFonts w:asciiTheme="majorHAnsi" w:hAnsiTheme="majorHAnsi"/>
          <w:bCs/>
          <w:sz w:val="24"/>
          <w:szCs w:val="22"/>
        </w:rPr>
        <w:t xml:space="preserve"> companies</w:t>
      </w:r>
      <w:r w:rsidR="006365C7">
        <w:rPr>
          <w:rFonts w:asciiTheme="majorHAnsi" w:hAnsiTheme="majorHAnsi"/>
          <w:bCs/>
          <w:sz w:val="24"/>
          <w:szCs w:val="22"/>
        </w:rPr>
        <w:t xml:space="preserve"> in emerging markets</w:t>
      </w:r>
      <w:r w:rsidR="00331083">
        <w:rPr>
          <w:rFonts w:asciiTheme="majorHAnsi" w:hAnsiTheme="majorHAnsi"/>
          <w:bCs/>
          <w:sz w:val="24"/>
          <w:szCs w:val="22"/>
        </w:rPr>
        <w:t xml:space="preserve"> attract capital and build resilient enterprises?</w:t>
      </w:r>
      <w:r w:rsidR="00130CB1" w:rsidRPr="00ED47AE">
        <w:rPr>
          <w:rFonts w:asciiTheme="majorHAnsi" w:hAnsiTheme="majorHAnsi"/>
          <w:bCs/>
          <w:sz w:val="24"/>
          <w:szCs w:val="22"/>
        </w:rPr>
        <w:t xml:space="preserve"> </w:t>
      </w:r>
      <w:r w:rsidR="00331083">
        <w:rPr>
          <w:rFonts w:asciiTheme="majorHAnsi" w:hAnsiTheme="majorHAnsi"/>
          <w:bCs/>
          <w:sz w:val="24"/>
          <w:szCs w:val="22"/>
        </w:rPr>
        <w:t>Panel discussio</w:t>
      </w:r>
      <w:r w:rsidR="006365C7">
        <w:rPr>
          <w:rFonts w:asciiTheme="majorHAnsi" w:hAnsiTheme="majorHAnsi"/>
          <w:bCs/>
          <w:sz w:val="24"/>
          <w:szCs w:val="22"/>
        </w:rPr>
        <w:t>n on how</w:t>
      </w:r>
      <w:r w:rsidR="00331083">
        <w:rPr>
          <w:rFonts w:asciiTheme="majorHAnsi" w:hAnsiTheme="majorHAnsi"/>
          <w:bCs/>
          <w:sz w:val="24"/>
          <w:szCs w:val="22"/>
        </w:rPr>
        <w:t xml:space="preserve"> </w:t>
      </w:r>
      <w:r w:rsidR="00130CB1" w:rsidRPr="00ED47AE">
        <w:rPr>
          <w:rFonts w:asciiTheme="majorHAnsi" w:hAnsiTheme="majorHAnsi"/>
          <w:bCs/>
          <w:sz w:val="24"/>
          <w:szCs w:val="22"/>
        </w:rPr>
        <w:t xml:space="preserve">organizations pursue opportunities, manage risks and report on </w:t>
      </w:r>
      <w:r w:rsidR="00130CB1" w:rsidRPr="00ED47AE">
        <w:rPr>
          <w:rFonts w:asciiTheme="majorHAnsi" w:hAnsiTheme="majorHAnsi" w:cs="Arial"/>
          <w:sz w:val="24"/>
          <w:szCs w:val="22"/>
          <w:lang w:val="en-GB"/>
        </w:rPr>
        <w:t xml:space="preserve">strategic ESG </w:t>
      </w:r>
      <w:r w:rsidR="00130CB1" w:rsidRPr="00ED47AE">
        <w:rPr>
          <w:rFonts w:asciiTheme="majorHAnsi" w:hAnsiTheme="majorHAnsi"/>
          <w:bCs/>
          <w:sz w:val="24"/>
          <w:szCs w:val="22"/>
        </w:rPr>
        <w:t xml:space="preserve">performance to meet </w:t>
      </w:r>
      <w:r w:rsidR="00130CB1" w:rsidRPr="00ED47AE">
        <w:rPr>
          <w:rFonts w:asciiTheme="majorHAnsi" w:hAnsiTheme="majorHAnsi" w:cs="Arial"/>
          <w:sz w:val="24"/>
          <w:szCs w:val="22"/>
          <w:lang w:val="en-GB"/>
        </w:rPr>
        <w:t>international and EU sustainabilit</w:t>
      </w:r>
      <w:r w:rsidR="00331083">
        <w:rPr>
          <w:rFonts w:asciiTheme="majorHAnsi" w:hAnsiTheme="majorHAnsi" w:cs="Arial"/>
          <w:sz w:val="24"/>
          <w:szCs w:val="22"/>
          <w:lang w:val="en-GB"/>
        </w:rPr>
        <w:t>y and disclosure requirements.</w:t>
      </w:r>
      <w:r w:rsidR="00ED47AE">
        <w:rPr>
          <w:rFonts w:asciiTheme="majorHAnsi" w:hAnsiTheme="majorHAnsi" w:cs="Arial"/>
          <w:sz w:val="24"/>
          <w:szCs w:val="22"/>
          <w:lang w:val="en-GB"/>
        </w:rPr>
        <w:t xml:space="preserve"> </w:t>
      </w:r>
    </w:p>
    <w:p w14:paraId="2A156990" w14:textId="77777777" w:rsidR="001712DB" w:rsidRPr="00ED47AE" w:rsidRDefault="001712DB" w:rsidP="00A278F1">
      <w:pPr>
        <w:spacing w:before="120"/>
        <w:ind w:left="360"/>
        <w:rPr>
          <w:rFonts w:asciiTheme="majorHAnsi" w:hAnsiTheme="majorHAnsi"/>
          <w:sz w:val="24"/>
          <w:szCs w:val="22"/>
        </w:rPr>
      </w:pPr>
      <w:r w:rsidRPr="00ED47AE">
        <w:rPr>
          <w:rFonts w:asciiTheme="majorHAnsi" w:hAnsiTheme="majorHAnsi"/>
          <w:b/>
          <w:sz w:val="24"/>
          <w:szCs w:val="22"/>
        </w:rPr>
        <w:t>Governance Disclosure:</w:t>
      </w:r>
      <w:r w:rsidRPr="00ED47AE">
        <w:rPr>
          <w:rFonts w:asciiTheme="majorHAnsi" w:hAnsiTheme="majorHAnsi"/>
          <w:sz w:val="24"/>
          <w:szCs w:val="22"/>
        </w:rPr>
        <w:t xml:space="preserve"> What are the key aspects of board leadership, structure and functioning of the board of directors to include in transparent corporate disclosure?</w:t>
      </w:r>
    </w:p>
    <w:p w14:paraId="2A156991" w14:textId="77777777" w:rsidR="000F6911" w:rsidRDefault="001712DB" w:rsidP="000F6911">
      <w:pPr>
        <w:spacing w:before="120"/>
        <w:ind w:left="360"/>
        <w:rPr>
          <w:rFonts w:asciiTheme="majorHAnsi" w:hAnsiTheme="majorHAnsi"/>
          <w:sz w:val="24"/>
          <w:szCs w:val="22"/>
        </w:rPr>
      </w:pPr>
      <w:r w:rsidRPr="00ED47AE">
        <w:rPr>
          <w:rFonts w:asciiTheme="majorHAnsi" w:hAnsiTheme="majorHAnsi"/>
          <w:b/>
          <w:sz w:val="24"/>
          <w:szCs w:val="22"/>
        </w:rPr>
        <w:t>Reporting on Strategy:</w:t>
      </w:r>
      <w:r w:rsidRPr="00ED47AE">
        <w:rPr>
          <w:rFonts w:asciiTheme="majorHAnsi" w:hAnsiTheme="majorHAnsi"/>
          <w:sz w:val="24"/>
          <w:szCs w:val="22"/>
        </w:rPr>
        <w:t xml:space="preserve">  How to communicate forward-looking strategy</w:t>
      </w:r>
      <w:r w:rsidRPr="00ED47AE">
        <w:rPr>
          <w:rFonts w:asciiTheme="majorHAnsi" w:hAnsiTheme="majorHAnsi"/>
          <w:bCs/>
          <w:sz w:val="24"/>
          <w:szCs w:val="22"/>
        </w:rPr>
        <w:t xml:space="preserve"> </w:t>
      </w:r>
      <w:r w:rsidRPr="00ED47AE">
        <w:rPr>
          <w:rFonts w:asciiTheme="majorHAnsi" w:hAnsiTheme="majorHAnsi"/>
          <w:sz w:val="24"/>
          <w:szCs w:val="22"/>
        </w:rPr>
        <w:t xml:space="preserve">information in your reporting? </w:t>
      </w:r>
      <w:r w:rsidR="006365C7">
        <w:rPr>
          <w:rFonts w:asciiTheme="majorHAnsi" w:hAnsiTheme="majorHAnsi"/>
          <w:sz w:val="24"/>
          <w:szCs w:val="22"/>
        </w:rPr>
        <w:t xml:space="preserve"> </w:t>
      </w:r>
      <w:r w:rsidRPr="00ED47AE">
        <w:rPr>
          <w:rFonts w:asciiTheme="majorHAnsi" w:hAnsiTheme="majorHAnsi"/>
          <w:sz w:val="24"/>
          <w:szCs w:val="22"/>
        </w:rPr>
        <w:t>What are the key steps (internal process &amp; practi</w:t>
      </w:r>
      <w:r w:rsidR="000F6911">
        <w:rPr>
          <w:rFonts w:asciiTheme="majorHAnsi" w:hAnsiTheme="majorHAnsi"/>
          <w:sz w:val="24"/>
          <w:szCs w:val="22"/>
        </w:rPr>
        <w:t>ces) in the reporting journey?</w:t>
      </w:r>
    </w:p>
    <w:p w14:paraId="2A156992" w14:textId="77777777" w:rsidR="000F6911" w:rsidRPr="000F6911" w:rsidRDefault="000F6911" w:rsidP="000F6911">
      <w:pPr>
        <w:spacing w:before="120"/>
        <w:ind w:left="360"/>
        <w:rPr>
          <w:rFonts w:asciiTheme="majorHAnsi" w:hAnsiTheme="majorHAnsi"/>
          <w:sz w:val="24"/>
          <w:szCs w:val="22"/>
        </w:rPr>
      </w:pPr>
      <w:r w:rsidRPr="000F6911">
        <w:rPr>
          <w:rFonts w:asciiTheme="majorHAnsi" w:hAnsiTheme="majorHAnsi"/>
          <w:b/>
          <w:bCs/>
          <w:caps/>
          <w:sz w:val="24"/>
          <w:szCs w:val="22"/>
          <w:lang w:val="en-GB"/>
        </w:rPr>
        <w:t>C</w:t>
      </w:r>
      <w:r w:rsidRPr="000F6911">
        <w:rPr>
          <w:rFonts w:asciiTheme="majorHAnsi" w:hAnsiTheme="majorHAnsi"/>
          <w:b/>
          <w:bCs/>
          <w:sz w:val="24"/>
          <w:szCs w:val="22"/>
          <w:lang w:val="en-GB"/>
        </w:rPr>
        <w:t>ontrol Environment:</w:t>
      </w:r>
      <w:r>
        <w:rPr>
          <w:rFonts w:asciiTheme="majorHAnsi" w:hAnsiTheme="majorHAnsi"/>
          <w:sz w:val="24"/>
          <w:szCs w:val="22"/>
        </w:rPr>
        <w:t xml:space="preserve">  </w:t>
      </w:r>
      <w:r w:rsidRPr="000F6911">
        <w:rPr>
          <w:rFonts w:asciiTheme="majorHAnsi" w:hAnsiTheme="majorHAnsi"/>
          <w:bCs/>
          <w:sz w:val="24"/>
          <w:szCs w:val="22"/>
        </w:rPr>
        <w:t xml:space="preserve">How is the company’s control environment structured?  How to report on internal control, risk management and the role of the audit committee?   </w:t>
      </w:r>
    </w:p>
    <w:p w14:paraId="2A156993" w14:textId="77777777" w:rsidR="00471CB2" w:rsidRPr="00ED47AE" w:rsidRDefault="00C02285" w:rsidP="00A278F1">
      <w:pPr>
        <w:pStyle w:val="Default"/>
        <w:spacing w:before="120"/>
        <w:ind w:left="360"/>
        <w:rPr>
          <w:rFonts w:asciiTheme="majorHAnsi" w:hAnsiTheme="majorHAnsi"/>
          <w:bCs/>
          <w:color w:val="auto"/>
          <w:szCs w:val="22"/>
        </w:rPr>
      </w:pPr>
      <w:r w:rsidRPr="00ED47AE">
        <w:rPr>
          <w:rFonts w:asciiTheme="majorHAnsi" w:hAnsiTheme="majorHAnsi"/>
          <w:b/>
          <w:bCs/>
          <w:color w:val="auto"/>
          <w:szCs w:val="22"/>
        </w:rPr>
        <w:t>Policy Support for ESG Regulation:</w:t>
      </w:r>
      <w:r w:rsidRPr="00ED47AE">
        <w:rPr>
          <w:rFonts w:asciiTheme="majorHAnsi" w:hAnsiTheme="majorHAnsi"/>
          <w:bCs/>
          <w:color w:val="auto"/>
          <w:szCs w:val="22"/>
        </w:rPr>
        <w:t xml:space="preserve">  How do stock exchanges and regulators help to increase and support responsible investments in emerging markets?  Successes &amp; challenges?</w:t>
      </w:r>
    </w:p>
    <w:p w14:paraId="2A156994" w14:textId="77777777" w:rsidR="00C02285" w:rsidRPr="00ED47AE" w:rsidRDefault="00471CB2" w:rsidP="00A278F1">
      <w:pPr>
        <w:spacing w:before="120" w:after="120"/>
        <w:ind w:left="360"/>
        <w:rPr>
          <w:rFonts w:asciiTheme="majorHAnsi" w:hAnsiTheme="majorHAnsi"/>
          <w:sz w:val="24"/>
          <w:szCs w:val="22"/>
        </w:rPr>
      </w:pPr>
      <w:r w:rsidRPr="00ED47AE">
        <w:rPr>
          <w:rFonts w:asciiTheme="majorHAnsi" w:hAnsiTheme="majorHAnsi"/>
          <w:b/>
          <w:sz w:val="24"/>
          <w:szCs w:val="22"/>
        </w:rPr>
        <w:t xml:space="preserve">Reporting on Performance: </w:t>
      </w:r>
      <w:r w:rsidRPr="00ED47AE">
        <w:rPr>
          <w:rFonts w:asciiTheme="majorHAnsi" w:hAnsiTheme="majorHAnsi"/>
          <w:bCs/>
          <w:sz w:val="24"/>
          <w:szCs w:val="22"/>
        </w:rPr>
        <w:t>Transparent disclosure of financial and ESG performance is critical to attract capital from international investors.  How best to communicate high quality performance indicators? What a</w:t>
      </w:r>
      <w:r w:rsidR="00C02285" w:rsidRPr="00ED47AE">
        <w:rPr>
          <w:rFonts w:asciiTheme="majorHAnsi" w:hAnsiTheme="majorHAnsi"/>
          <w:bCs/>
          <w:sz w:val="24"/>
          <w:szCs w:val="22"/>
        </w:rPr>
        <w:t>re the emerging opportunities?</w:t>
      </w:r>
    </w:p>
    <w:p w14:paraId="2A156995" w14:textId="77777777" w:rsidR="00686528" w:rsidRPr="00ED47AE" w:rsidRDefault="00C02285" w:rsidP="00A278F1">
      <w:pPr>
        <w:spacing w:before="120"/>
        <w:ind w:left="360"/>
        <w:rPr>
          <w:rFonts w:asciiTheme="majorHAnsi" w:hAnsiTheme="majorHAnsi"/>
          <w:sz w:val="24"/>
          <w:szCs w:val="22"/>
        </w:rPr>
      </w:pPr>
      <w:r w:rsidRPr="00ED47AE">
        <w:rPr>
          <w:rFonts w:asciiTheme="majorHAnsi" w:hAnsiTheme="majorHAnsi"/>
          <w:b/>
          <w:sz w:val="24"/>
          <w:szCs w:val="22"/>
        </w:rPr>
        <w:t xml:space="preserve">Sustainable Banking:  </w:t>
      </w:r>
      <w:r w:rsidR="00BB0357" w:rsidRPr="00ED47AE">
        <w:rPr>
          <w:rFonts w:asciiTheme="majorHAnsi" w:hAnsiTheme="majorHAnsi"/>
          <w:sz w:val="24"/>
          <w:szCs w:val="22"/>
        </w:rPr>
        <w:t xml:space="preserve">What is the </w:t>
      </w:r>
      <w:r w:rsidR="006365C7">
        <w:rPr>
          <w:rFonts w:asciiTheme="majorHAnsi" w:hAnsiTheme="majorHAnsi"/>
          <w:sz w:val="24"/>
          <w:szCs w:val="22"/>
        </w:rPr>
        <w:t xml:space="preserve">vital </w:t>
      </w:r>
      <w:r w:rsidR="00BB0357" w:rsidRPr="00ED47AE">
        <w:rPr>
          <w:rFonts w:asciiTheme="majorHAnsi" w:hAnsiTheme="majorHAnsi"/>
          <w:sz w:val="24"/>
          <w:szCs w:val="22"/>
        </w:rPr>
        <w:t xml:space="preserve">role of </w:t>
      </w:r>
      <w:r w:rsidR="006365C7">
        <w:rPr>
          <w:rFonts w:asciiTheme="majorHAnsi" w:hAnsiTheme="majorHAnsi"/>
          <w:sz w:val="24"/>
          <w:szCs w:val="22"/>
        </w:rPr>
        <w:t xml:space="preserve">regional banks and the Sustainable Banking Network (SBN) </w:t>
      </w:r>
      <w:r w:rsidRPr="00ED47AE">
        <w:rPr>
          <w:rFonts w:asciiTheme="majorHAnsi" w:hAnsiTheme="majorHAnsi"/>
          <w:sz w:val="24"/>
          <w:szCs w:val="22"/>
        </w:rPr>
        <w:t>in promoting sustainable banking principles</w:t>
      </w:r>
      <w:r w:rsidR="006365C7">
        <w:rPr>
          <w:rFonts w:asciiTheme="majorHAnsi" w:hAnsiTheme="majorHAnsi"/>
          <w:sz w:val="24"/>
          <w:szCs w:val="22"/>
        </w:rPr>
        <w:t xml:space="preserve"> and practices?</w:t>
      </w:r>
    </w:p>
    <w:p w14:paraId="2A156996" w14:textId="20EA610E" w:rsidR="00BB6A54" w:rsidRDefault="00BB6A54" w:rsidP="00BB6A54">
      <w:pPr>
        <w:spacing w:before="120"/>
        <w:rPr>
          <w:rFonts w:asciiTheme="majorHAnsi" w:hAnsiTheme="majorHAnsi"/>
          <w:sz w:val="24"/>
        </w:rPr>
      </w:pPr>
      <w:r w:rsidRPr="00ED47AE">
        <w:rPr>
          <w:rFonts w:asciiTheme="majorHAnsi" w:hAnsiTheme="majorHAnsi"/>
          <w:sz w:val="24"/>
        </w:rPr>
        <w:lastRenderedPageBreak/>
        <w:t xml:space="preserve">Responding to the </w:t>
      </w:r>
      <w:r w:rsidR="006365C7">
        <w:rPr>
          <w:rFonts w:asciiTheme="majorHAnsi" w:hAnsiTheme="majorHAnsi"/>
          <w:sz w:val="24"/>
        </w:rPr>
        <w:t xml:space="preserve">limits to </w:t>
      </w:r>
      <w:r w:rsidR="00BA78F5" w:rsidRPr="00ED47AE">
        <w:rPr>
          <w:rFonts w:asciiTheme="majorHAnsi" w:hAnsiTheme="majorHAnsi"/>
          <w:sz w:val="24"/>
        </w:rPr>
        <w:t xml:space="preserve">peer-to-peer </w:t>
      </w:r>
      <w:r w:rsidR="00BA78F5">
        <w:rPr>
          <w:rFonts w:asciiTheme="majorHAnsi" w:hAnsiTheme="majorHAnsi"/>
          <w:sz w:val="24"/>
        </w:rPr>
        <w:t>interactions</w:t>
      </w:r>
      <w:r w:rsidR="00BA78F5" w:rsidRPr="00ED47A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posed by online </w:t>
      </w:r>
      <w:r w:rsidR="00BA78F5">
        <w:rPr>
          <w:rFonts w:asciiTheme="majorHAnsi" w:hAnsiTheme="majorHAnsi"/>
          <w:sz w:val="24"/>
        </w:rPr>
        <w:t>venues</w:t>
      </w:r>
      <w:r>
        <w:rPr>
          <w:rFonts w:asciiTheme="majorHAnsi" w:hAnsiTheme="majorHAnsi"/>
          <w:sz w:val="24"/>
        </w:rPr>
        <w:t>, the</w:t>
      </w:r>
      <w:r w:rsidRPr="00ED47AE">
        <w:rPr>
          <w:rFonts w:asciiTheme="majorHAnsi" w:hAnsiTheme="majorHAnsi"/>
          <w:sz w:val="24"/>
        </w:rPr>
        <w:t xml:space="preserve"> D&amp;T webinar series piloted various experiential </w:t>
      </w:r>
      <w:r w:rsidR="00BA78F5">
        <w:rPr>
          <w:rFonts w:asciiTheme="majorHAnsi" w:hAnsiTheme="majorHAnsi"/>
          <w:sz w:val="24"/>
        </w:rPr>
        <w:t xml:space="preserve">learning opportunities.  Between webinar events, the </w:t>
      </w:r>
      <w:r w:rsidR="00830057">
        <w:rPr>
          <w:rFonts w:asciiTheme="majorHAnsi" w:hAnsiTheme="majorHAnsi"/>
          <w:sz w:val="24"/>
        </w:rPr>
        <w:t>30</w:t>
      </w:r>
      <w:r w:rsidR="00BA78F5">
        <w:rPr>
          <w:rFonts w:asciiTheme="majorHAnsi" w:hAnsiTheme="majorHAnsi"/>
          <w:sz w:val="24"/>
        </w:rPr>
        <w:t xml:space="preserve"> </w:t>
      </w:r>
      <w:r w:rsidR="008A33E7">
        <w:rPr>
          <w:rFonts w:asciiTheme="majorHAnsi" w:hAnsiTheme="majorHAnsi"/>
          <w:sz w:val="24"/>
        </w:rPr>
        <w:t>partner</w:t>
      </w:r>
      <w:r w:rsidR="00BA78F5">
        <w:rPr>
          <w:rFonts w:asciiTheme="majorHAnsi" w:hAnsiTheme="majorHAnsi"/>
          <w:sz w:val="24"/>
        </w:rPr>
        <w:t xml:space="preserve">s were organized into five practice groups to discuss and form questions on D&amp;T resources and prepare for a group presentation.  In addition, all participants were invited to four </w:t>
      </w:r>
      <w:r w:rsidRPr="00ED47AE">
        <w:rPr>
          <w:rFonts w:asciiTheme="majorHAnsi" w:hAnsiTheme="majorHAnsi"/>
          <w:sz w:val="24"/>
        </w:rPr>
        <w:t>informal “Ask the Expert” conv</w:t>
      </w:r>
      <w:r w:rsidR="00BA78F5">
        <w:rPr>
          <w:rFonts w:asciiTheme="majorHAnsi" w:hAnsiTheme="majorHAnsi"/>
          <w:sz w:val="24"/>
        </w:rPr>
        <w:t xml:space="preserve">ersations.  During the third webinar in the series, practice groups </w:t>
      </w:r>
      <w:r w:rsidRPr="00ED47AE">
        <w:rPr>
          <w:rFonts w:asciiTheme="majorHAnsi" w:hAnsiTheme="majorHAnsi"/>
          <w:sz w:val="24"/>
        </w:rPr>
        <w:t xml:space="preserve">led </w:t>
      </w:r>
      <w:r>
        <w:rPr>
          <w:rFonts w:asciiTheme="majorHAnsi" w:hAnsiTheme="majorHAnsi"/>
          <w:sz w:val="24"/>
        </w:rPr>
        <w:t>discussions</w:t>
      </w:r>
      <w:r w:rsidRPr="00ED47AE">
        <w:rPr>
          <w:rFonts w:asciiTheme="majorHAnsi" w:hAnsiTheme="majorHAnsi"/>
          <w:sz w:val="24"/>
        </w:rPr>
        <w:t xml:space="preserve"> on</w:t>
      </w:r>
      <w:r w:rsidR="00BA78F5">
        <w:rPr>
          <w:rFonts w:asciiTheme="majorHAnsi" w:hAnsiTheme="majorHAnsi"/>
          <w:sz w:val="24"/>
        </w:rPr>
        <w:t xml:space="preserve"> select</w:t>
      </w:r>
      <w:r w:rsidRPr="00ED47AE">
        <w:rPr>
          <w:rFonts w:asciiTheme="majorHAnsi" w:hAnsiTheme="majorHAnsi"/>
          <w:sz w:val="24"/>
        </w:rPr>
        <w:t xml:space="preserve"> D&amp;T</w:t>
      </w:r>
      <w:r w:rsidR="00BA78F5">
        <w:rPr>
          <w:rFonts w:asciiTheme="majorHAnsi" w:hAnsiTheme="majorHAnsi"/>
          <w:sz w:val="24"/>
        </w:rPr>
        <w:t xml:space="preserve"> topics and</w:t>
      </w:r>
      <w:r w:rsidRPr="00ED47AE">
        <w:rPr>
          <w:rFonts w:asciiTheme="majorHAnsi" w:hAnsiTheme="majorHAnsi"/>
          <w:sz w:val="24"/>
        </w:rPr>
        <w:t xml:space="preserve"> challenges.  </w:t>
      </w:r>
    </w:p>
    <w:p w14:paraId="2A156997" w14:textId="77777777" w:rsidR="00BB6A54" w:rsidRPr="00ED47AE" w:rsidRDefault="00BB6A54" w:rsidP="00BB6A54">
      <w:pPr>
        <w:spacing w:before="120"/>
        <w:rPr>
          <w:rFonts w:asciiTheme="majorHAnsi" w:hAnsiTheme="majorHAnsi" w:cstheme="minorHAnsi"/>
          <w:sz w:val="24"/>
        </w:rPr>
      </w:pPr>
      <w:r w:rsidRPr="00ED47AE">
        <w:rPr>
          <w:rFonts w:asciiTheme="majorHAnsi" w:hAnsiTheme="majorHAnsi"/>
          <w:sz w:val="24"/>
        </w:rPr>
        <w:t xml:space="preserve">Dilemmas posed </w:t>
      </w:r>
      <w:r w:rsidR="008A33E7">
        <w:rPr>
          <w:rFonts w:asciiTheme="majorHAnsi" w:hAnsiTheme="majorHAnsi"/>
          <w:sz w:val="24"/>
        </w:rPr>
        <w:t>during informal peer-to-peers discussions</w:t>
      </w:r>
      <w:r w:rsidRPr="00ED47AE">
        <w:rPr>
          <w:rFonts w:asciiTheme="majorHAnsi" w:hAnsiTheme="majorHAnsi"/>
          <w:sz w:val="24"/>
        </w:rPr>
        <w:t xml:space="preserve"> included “how to be transparent and honest, but not jeopardize the company?”</w:t>
      </w:r>
      <w:r>
        <w:rPr>
          <w:rFonts w:asciiTheme="majorHAnsi" w:hAnsiTheme="majorHAnsi"/>
          <w:sz w:val="24"/>
        </w:rPr>
        <w:t xml:space="preserve"> and</w:t>
      </w:r>
      <w:r w:rsidRPr="00ED47AE">
        <w:rPr>
          <w:rFonts w:asciiTheme="majorHAnsi" w:hAnsiTheme="majorHAnsi"/>
          <w:sz w:val="24"/>
        </w:rPr>
        <w:t xml:space="preserve"> “what is the role of the CFO in addressing ESG?”</w:t>
      </w:r>
      <w:r>
        <w:rPr>
          <w:rFonts w:asciiTheme="majorHAnsi" w:hAnsiTheme="majorHAnsi"/>
          <w:sz w:val="24"/>
        </w:rPr>
        <w:t xml:space="preserve">  In response to</w:t>
      </w:r>
      <w:r w:rsidR="008A33E7">
        <w:rPr>
          <w:rFonts w:asciiTheme="majorHAnsi" w:hAnsiTheme="majorHAnsi"/>
          <w:sz w:val="24"/>
        </w:rPr>
        <w:t xml:space="preserve"> a question about </w:t>
      </w:r>
      <w:r w:rsidRPr="00ED47AE">
        <w:rPr>
          <w:rFonts w:asciiTheme="majorHAnsi" w:hAnsiTheme="majorHAnsi"/>
          <w:sz w:val="24"/>
        </w:rPr>
        <w:t>who is responsible</w:t>
      </w:r>
      <w:r w:rsidR="008A33E7">
        <w:rPr>
          <w:rFonts w:asciiTheme="majorHAnsi" w:hAnsiTheme="majorHAnsi"/>
          <w:sz w:val="24"/>
        </w:rPr>
        <w:t xml:space="preserve"> for the control environment,</w:t>
      </w:r>
      <w:r>
        <w:rPr>
          <w:rFonts w:asciiTheme="majorHAnsi" w:hAnsiTheme="majorHAnsi"/>
          <w:sz w:val="24"/>
        </w:rPr>
        <w:t xml:space="preserve"> </w:t>
      </w:r>
      <w:r w:rsidR="00BA78F5">
        <w:rPr>
          <w:rFonts w:asciiTheme="majorHAnsi" w:hAnsiTheme="majorHAnsi"/>
          <w:sz w:val="24"/>
        </w:rPr>
        <w:t xml:space="preserve">the </w:t>
      </w:r>
      <w:r>
        <w:rPr>
          <w:rFonts w:asciiTheme="majorHAnsi" w:hAnsiTheme="majorHAnsi"/>
          <w:sz w:val="24"/>
        </w:rPr>
        <w:t xml:space="preserve">emphatic </w:t>
      </w:r>
      <w:r w:rsidR="00E77193">
        <w:rPr>
          <w:rFonts w:asciiTheme="majorHAnsi" w:hAnsiTheme="majorHAnsi"/>
          <w:sz w:val="24"/>
        </w:rPr>
        <w:t>IFC response</w:t>
      </w:r>
      <w:r>
        <w:rPr>
          <w:rFonts w:asciiTheme="majorHAnsi" w:hAnsiTheme="majorHAnsi"/>
          <w:sz w:val="24"/>
        </w:rPr>
        <w:t xml:space="preserve"> was:</w:t>
      </w:r>
      <w:r w:rsidRPr="00ED47A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“</w:t>
      </w:r>
      <w:r w:rsidRPr="00ED47AE">
        <w:rPr>
          <w:rFonts w:asciiTheme="majorHAnsi" w:hAnsiTheme="majorHAnsi"/>
          <w:sz w:val="24"/>
          <w:u w:val="single"/>
        </w:rPr>
        <w:t>Everyone</w:t>
      </w:r>
      <w:r>
        <w:rPr>
          <w:rFonts w:asciiTheme="majorHAnsi" w:hAnsiTheme="majorHAnsi"/>
          <w:sz w:val="24"/>
        </w:rPr>
        <w:t xml:space="preserve"> in the company</w:t>
      </w:r>
      <w:r w:rsidRPr="00ED47AE">
        <w:rPr>
          <w:rFonts w:asciiTheme="majorHAnsi" w:hAnsiTheme="majorHAnsi"/>
          <w:sz w:val="24"/>
        </w:rPr>
        <w:t>!</w:t>
      </w:r>
      <w:r w:rsidR="008A33E7">
        <w:rPr>
          <w:rFonts w:asciiTheme="majorHAnsi" w:hAnsiTheme="majorHAnsi"/>
          <w:sz w:val="24"/>
        </w:rPr>
        <w:t>”</w:t>
      </w:r>
    </w:p>
    <w:p w14:paraId="2A156998" w14:textId="77777777" w:rsidR="00677251" w:rsidRPr="00E77193" w:rsidRDefault="00AC2859" w:rsidP="001D31B5">
      <w:pPr>
        <w:pStyle w:val="NormalWeb"/>
        <w:spacing w:beforeLines="50" w:before="120" w:after="2"/>
        <w:rPr>
          <w:rFonts w:asciiTheme="majorHAnsi" w:hAnsiTheme="majorHAnsi"/>
          <w:iCs/>
          <w:color w:val="0F243E" w:themeColor="text2" w:themeShade="80"/>
          <w:sz w:val="24"/>
        </w:rPr>
      </w:pPr>
      <w:r w:rsidRPr="00ED47AE">
        <w:rPr>
          <w:rFonts w:asciiTheme="majorHAnsi" w:hAnsiTheme="majorHAnsi"/>
          <w:sz w:val="24"/>
        </w:rPr>
        <w:t>To supplement the experiential learning journey launched by this</w:t>
      </w:r>
      <w:r w:rsidR="00BB6A54">
        <w:rPr>
          <w:rFonts w:asciiTheme="majorHAnsi" w:hAnsiTheme="majorHAnsi"/>
          <w:sz w:val="24"/>
        </w:rPr>
        <w:t xml:space="preserve"> ECA</w:t>
      </w:r>
      <w:r w:rsidR="002916B6" w:rsidRPr="00ED47AE">
        <w:rPr>
          <w:rFonts w:asciiTheme="majorHAnsi" w:hAnsiTheme="majorHAnsi"/>
          <w:sz w:val="24"/>
        </w:rPr>
        <w:t xml:space="preserve"> webinar </w:t>
      </w:r>
      <w:r w:rsidR="00A278F1" w:rsidRPr="00ED47AE">
        <w:rPr>
          <w:rFonts w:asciiTheme="majorHAnsi" w:hAnsiTheme="majorHAnsi"/>
          <w:sz w:val="24"/>
        </w:rPr>
        <w:t xml:space="preserve">series, </w:t>
      </w:r>
      <w:r w:rsidR="00924235" w:rsidRPr="00924235">
        <w:rPr>
          <w:rFonts w:asciiTheme="majorHAnsi" w:hAnsiTheme="majorHAnsi"/>
          <w:sz w:val="24"/>
        </w:rPr>
        <w:t xml:space="preserve">intermediary </w:t>
      </w:r>
      <w:r w:rsidR="00A278F1" w:rsidRPr="00924235">
        <w:rPr>
          <w:rFonts w:asciiTheme="majorHAnsi" w:hAnsiTheme="majorHAnsi"/>
          <w:sz w:val="24"/>
        </w:rPr>
        <w:t>partner</w:t>
      </w:r>
      <w:r w:rsidR="00924235" w:rsidRPr="00924235">
        <w:rPr>
          <w:rFonts w:asciiTheme="majorHAnsi" w:hAnsiTheme="majorHAnsi"/>
          <w:sz w:val="24"/>
        </w:rPr>
        <w:t>s</w:t>
      </w:r>
      <w:r w:rsidR="000F342E">
        <w:rPr>
          <w:rFonts w:asciiTheme="majorHAnsi" w:hAnsiTheme="majorHAnsi"/>
          <w:sz w:val="24"/>
        </w:rPr>
        <w:t xml:space="preserve"> </w:t>
      </w:r>
      <w:r w:rsidR="003C6456" w:rsidRPr="00ED47AE">
        <w:rPr>
          <w:rFonts w:asciiTheme="majorHAnsi" w:hAnsiTheme="majorHAnsi"/>
          <w:sz w:val="24"/>
        </w:rPr>
        <w:t>receive</w:t>
      </w:r>
      <w:r w:rsidR="006B1D51" w:rsidRPr="00ED47AE">
        <w:rPr>
          <w:rFonts w:asciiTheme="majorHAnsi" w:hAnsiTheme="majorHAnsi"/>
          <w:sz w:val="24"/>
        </w:rPr>
        <w:t>d</w:t>
      </w:r>
      <w:r w:rsidR="003C6456" w:rsidRPr="00ED47AE">
        <w:rPr>
          <w:rFonts w:asciiTheme="majorHAnsi" w:hAnsiTheme="majorHAnsi"/>
          <w:sz w:val="24"/>
        </w:rPr>
        <w:t xml:space="preserve"> copies of </w:t>
      </w:r>
      <w:r w:rsidR="006B1D51" w:rsidRPr="00ED47AE">
        <w:rPr>
          <w:rFonts w:asciiTheme="majorHAnsi" w:hAnsiTheme="majorHAnsi"/>
          <w:sz w:val="24"/>
        </w:rPr>
        <w:t xml:space="preserve">the </w:t>
      </w:r>
      <w:r w:rsidR="00E77193">
        <w:rPr>
          <w:rFonts w:asciiTheme="majorHAnsi" w:hAnsiTheme="majorHAnsi"/>
          <w:sz w:val="24"/>
        </w:rPr>
        <w:t>D&amp;T</w:t>
      </w:r>
      <w:r w:rsidR="00924235">
        <w:rPr>
          <w:rFonts w:asciiTheme="majorHAnsi" w:hAnsiTheme="majorHAnsi"/>
          <w:sz w:val="24"/>
        </w:rPr>
        <w:t xml:space="preserve"> </w:t>
      </w:r>
      <w:r w:rsidRPr="00ED47AE">
        <w:rPr>
          <w:rFonts w:asciiTheme="majorHAnsi" w:hAnsiTheme="majorHAnsi"/>
          <w:sz w:val="24"/>
        </w:rPr>
        <w:t xml:space="preserve">video recordings and </w:t>
      </w:r>
      <w:r w:rsidR="00A278F1" w:rsidRPr="00ED47AE">
        <w:rPr>
          <w:rFonts w:asciiTheme="majorHAnsi" w:hAnsiTheme="majorHAnsi"/>
          <w:sz w:val="24"/>
        </w:rPr>
        <w:t>slide</w:t>
      </w:r>
      <w:r w:rsidRPr="00ED47AE">
        <w:rPr>
          <w:rFonts w:asciiTheme="majorHAnsi" w:hAnsiTheme="majorHAnsi"/>
          <w:sz w:val="24"/>
        </w:rPr>
        <w:t xml:space="preserve">s </w:t>
      </w:r>
      <w:r w:rsidR="00ED47AE">
        <w:rPr>
          <w:rFonts w:asciiTheme="majorHAnsi" w:hAnsiTheme="majorHAnsi"/>
          <w:sz w:val="24"/>
        </w:rPr>
        <w:t>presented during</w:t>
      </w:r>
      <w:r w:rsidRPr="00ED47AE">
        <w:rPr>
          <w:rFonts w:asciiTheme="majorHAnsi" w:hAnsiTheme="majorHAnsi"/>
          <w:sz w:val="24"/>
        </w:rPr>
        <w:t xml:space="preserve"> the </w:t>
      </w:r>
      <w:r w:rsidR="00E77193">
        <w:rPr>
          <w:rFonts w:asciiTheme="majorHAnsi" w:hAnsiTheme="majorHAnsi"/>
          <w:sz w:val="24"/>
        </w:rPr>
        <w:t>webinar</w:t>
      </w:r>
      <w:r w:rsidRPr="00ED47AE">
        <w:rPr>
          <w:rFonts w:asciiTheme="majorHAnsi" w:hAnsiTheme="majorHAnsi"/>
          <w:sz w:val="24"/>
        </w:rPr>
        <w:t xml:space="preserve"> sessions</w:t>
      </w:r>
      <w:r w:rsidR="006B1D51" w:rsidRPr="00ED47AE">
        <w:rPr>
          <w:rFonts w:asciiTheme="majorHAnsi" w:hAnsiTheme="majorHAnsi"/>
          <w:sz w:val="24"/>
        </w:rPr>
        <w:t xml:space="preserve">.  In addition, </w:t>
      </w:r>
      <w:r w:rsidR="00BB0357" w:rsidRPr="00ED47AE">
        <w:rPr>
          <w:rFonts w:asciiTheme="majorHAnsi" w:hAnsiTheme="majorHAnsi"/>
          <w:sz w:val="24"/>
        </w:rPr>
        <w:t>part</w:t>
      </w:r>
      <w:r w:rsidR="00BB6A54">
        <w:rPr>
          <w:rFonts w:asciiTheme="majorHAnsi" w:hAnsiTheme="majorHAnsi"/>
          <w:sz w:val="24"/>
        </w:rPr>
        <w:t>icipants</w:t>
      </w:r>
      <w:r w:rsidR="006B1D51" w:rsidRPr="00ED47AE">
        <w:rPr>
          <w:rFonts w:asciiTheme="majorHAnsi" w:hAnsiTheme="majorHAnsi"/>
          <w:sz w:val="24"/>
        </w:rPr>
        <w:t xml:space="preserve"> </w:t>
      </w:r>
      <w:r w:rsidR="003C6456" w:rsidRPr="00ED47AE">
        <w:rPr>
          <w:rFonts w:asciiTheme="majorHAnsi" w:hAnsiTheme="majorHAnsi"/>
          <w:sz w:val="24"/>
        </w:rPr>
        <w:t xml:space="preserve">have </w:t>
      </w:r>
      <w:r w:rsidR="00E77193">
        <w:rPr>
          <w:rFonts w:asciiTheme="majorHAnsi" w:hAnsiTheme="majorHAnsi"/>
          <w:sz w:val="24"/>
        </w:rPr>
        <w:t xml:space="preserve">open </w:t>
      </w:r>
      <w:r w:rsidR="00A278F1" w:rsidRPr="00ED47AE">
        <w:rPr>
          <w:rFonts w:asciiTheme="majorHAnsi" w:hAnsiTheme="majorHAnsi"/>
          <w:sz w:val="24"/>
        </w:rPr>
        <w:t xml:space="preserve">access to </w:t>
      </w:r>
      <w:r w:rsidR="007A4A9A" w:rsidRPr="00ED47AE">
        <w:rPr>
          <w:rFonts w:asciiTheme="majorHAnsi" w:hAnsiTheme="majorHAnsi"/>
          <w:iCs/>
          <w:color w:val="0F243E" w:themeColor="text2" w:themeShade="80"/>
          <w:sz w:val="24"/>
        </w:rPr>
        <w:t xml:space="preserve">IFC’s “Beyond the Balance Sheet” </w:t>
      </w:r>
      <w:r w:rsidR="003B3ACE" w:rsidRPr="00ED47AE">
        <w:rPr>
          <w:rFonts w:asciiTheme="majorHAnsi" w:hAnsiTheme="majorHAnsi"/>
          <w:iCs/>
          <w:color w:val="0F243E" w:themeColor="text2" w:themeShade="80"/>
          <w:sz w:val="24"/>
        </w:rPr>
        <w:t xml:space="preserve">ESG </w:t>
      </w:r>
      <w:r w:rsidR="00BB0357" w:rsidRPr="00ED47AE">
        <w:rPr>
          <w:rFonts w:asciiTheme="majorHAnsi" w:hAnsiTheme="majorHAnsi"/>
          <w:iCs/>
          <w:color w:val="0F243E" w:themeColor="text2" w:themeShade="80"/>
          <w:sz w:val="24"/>
        </w:rPr>
        <w:t>P</w:t>
      </w:r>
      <w:r w:rsidR="00102104" w:rsidRPr="00ED47AE">
        <w:rPr>
          <w:rFonts w:asciiTheme="majorHAnsi" w:hAnsiTheme="majorHAnsi"/>
          <w:iCs/>
          <w:color w:val="0F243E" w:themeColor="text2" w:themeShade="80"/>
          <w:sz w:val="24"/>
        </w:rPr>
        <w:t>latform</w:t>
      </w:r>
      <w:r w:rsidR="000F342E">
        <w:rPr>
          <w:rFonts w:asciiTheme="majorHAnsi" w:hAnsiTheme="majorHAnsi"/>
          <w:iCs/>
          <w:color w:val="0F243E" w:themeColor="text2" w:themeShade="80"/>
          <w:sz w:val="24"/>
        </w:rPr>
        <w:t>.  This ecosystem of resources</w:t>
      </w:r>
      <w:r w:rsidR="00BB6A54">
        <w:rPr>
          <w:rFonts w:asciiTheme="majorHAnsi" w:hAnsiTheme="majorHAnsi"/>
          <w:iCs/>
          <w:color w:val="0F243E" w:themeColor="text2" w:themeShade="80"/>
          <w:sz w:val="24"/>
        </w:rPr>
        <w:t xml:space="preserve"> </w:t>
      </w:r>
      <w:r w:rsidR="0081334B">
        <w:rPr>
          <w:rFonts w:asciiTheme="majorHAnsi" w:hAnsiTheme="majorHAnsi"/>
          <w:iCs/>
          <w:color w:val="0F243E" w:themeColor="text2" w:themeShade="80"/>
          <w:sz w:val="24"/>
        </w:rPr>
        <w:t>offer</w:t>
      </w:r>
      <w:r w:rsidR="00BB0357" w:rsidRPr="00ED47AE">
        <w:rPr>
          <w:rFonts w:asciiTheme="majorHAnsi" w:hAnsiTheme="majorHAnsi"/>
          <w:iCs/>
          <w:color w:val="0F243E" w:themeColor="text2" w:themeShade="80"/>
          <w:sz w:val="24"/>
        </w:rPr>
        <w:t xml:space="preserve"> </w:t>
      </w:r>
      <w:r w:rsidR="003C6456" w:rsidRPr="00ED47AE">
        <w:rPr>
          <w:rFonts w:asciiTheme="majorHAnsi" w:hAnsiTheme="majorHAnsi"/>
          <w:iCs/>
          <w:color w:val="0F243E" w:themeColor="text2" w:themeShade="80"/>
          <w:sz w:val="24"/>
        </w:rPr>
        <w:t>self-paced learning module</w:t>
      </w:r>
      <w:r w:rsidR="00ED47AE" w:rsidRPr="00ED47AE">
        <w:rPr>
          <w:rFonts w:asciiTheme="majorHAnsi" w:hAnsiTheme="majorHAnsi"/>
          <w:iCs/>
          <w:color w:val="0F243E" w:themeColor="text2" w:themeShade="80"/>
          <w:sz w:val="24"/>
        </w:rPr>
        <w:t xml:space="preserve">s, </w:t>
      </w:r>
      <w:r w:rsidR="00102104" w:rsidRPr="00ED47AE">
        <w:rPr>
          <w:rFonts w:asciiTheme="majorHAnsi" w:hAnsiTheme="majorHAnsi"/>
          <w:iCs/>
          <w:color w:val="0F243E" w:themeColor="text2" w:themeShade="80"/>
          <w:sz w:val="24"/>
        </w:rPr>
        <w:t>D&amp;T</w:t>
      </w:r>
      <w:r w:rsidR="00ED47AE" w:rsidRPr="00ED47AE">
        <w:rPr>
          <w:rFonts w:asciiTheme="majorHAnsi" w:hAnsiTheme="majorHAnsi"/>
          <w:iCs/>
          <w:color w:val="0F243E" w:themeColor="text2" w:themeShade="80"/>
          <w:sz w:val="24"/>
        </w:rPr>
        <w:t xml:space="preserve"> </w:t>
      </w:r>
      <w:r w:rsidR="00102104" w:rsidRPr="00ED47AE">
        <w:rPr>
          <w:rFonts w:asciiTheme="majorHAnsi" w:hAnsiTheme="majorHAnsi"/>
          <w:iCs/>
          <w:color w:val="0F243E" w:themeColor="text2" w:themeShade="80"/>
          <w:sz w:val="24"/>
        </w:rPr>
        <w:t>gap analysis tool</w:t>
      </w:r>
      <w:r w:rsidR="00ED47AE" w:rsidRPr="00ED47AE">
        <w:rPr>
          <w:rFonts w:asciiTheme="majorHAnsi" w:hAnsiTheme="majorHAnsi"/>
          <w:iCs/>
          <w:color w:val="0F243E" w:themeColor="text2" w:themeShade="80"/>
          <w:sz w:val="24"/>
        </w:rPr>
        <w:t>s</w:t>
      </w:r>
      <w:r w:rsidR="0081334B">
        <w:rPr>
          <w:rFonts w:asciiTheme="majorHAnsi" w:hAnsiTheme="majorHAnsi"/>
          <w:iCs/>
          <w:color w:val="0F243E" w:themeColor="text2" w:themeShade="80"/>
          <w:sz w:val="24"/>
        </w:rPr>
        <w:t xml:space="preserve">, </w:t>
      </w:r>
      <w:r w:rsidR="000F342E" w:rsidRPr="00ED47AE">
        <w:rPr>
          <w:rFonts w:asciiTheme="majorHAnsi" w:hAnsiTheme="majorHAnsi"/>
          <w:iCs/>
          <w:color w:val="0F243E" w:themeColor="text2" w:themeShade="80"/>
          <w:sz w:val="24"/>
        </w:rPr>
        <w:t xml:space="preserve">regional and industry </w:t>
      </w:r>
      <w:r w:rsidR="000F342E">
        <w:rPr>
          <w:rFonts w:asciiTheme="majorHAnsi" w:hAnsiTheme="majorHAnsi"/>
          <w:iCs/>
          <w:color w:val="0F243E" w:themeColor="text2" w:themeShade="80"/>
          <w:sz w:val="24"/>
        </w:rPr>
        <w:t xml:space="preserve">updates and </w:t>
      </w:r>
      <w:r w:rsidR="0081334B">
        <w:rPr>
          <w:rFonts w:asciiTheme="majorHAnsi" w:hAnsiTheme="majorHAnsi"/>
          <w:iCs/>
          <w:color w:val="0F243E" w:themeColor="text2" w:themeShade="80"/>
          <w:sz w:val="24"/>
        </w:rPr>
        <w:t>community networks</w:t>
      </w:r>
      <w:r w:rsidR="000F342E">
        <w:rPr>
          <w:rFonts w:asciiTheme="majorHAnsi" w:hAnsiTheme="majorHAnsi"/>
          <w:iCs/>
          <w:color w:val="0F243E" w:themeColor="text2" w:themeShade="80"/>
          <w:sz w:val="24"/>
        </w:rPr>
        <w:t xml:space="preserve"> </w:t>
      </w:r>
      <w:r w:rsidR="00ED47AE" w:rsidRPr="00ED47AE">
        <w:rPr>
          <w:rFonts w:asciiTheme="majorHAnsi" w:hAnsiTheme="majorHAnsi"/>
          <w:iCs/>
          <w:color w:val="0F243E" w:themeColor="text2" w:themeShade="80"/>
          <w:sz w:val="24"/>
        </w:rPr>
        <w:t>for companies, investor and regulators.</w:t>
      </w:r>
      <w:r w:rsidR="00E77193">
        <w:rPr>
          <w:rFonts w:asciiTheme="majorHAnsi" w:hAnsiTheme="majorHAnsi"/>
          <w:iCs/>
          <w:color w:val="0F243E" w:themeColor="text2" w:themeShade="80"/>
          <w:sz w:val="24"/>
        </w:rPr>
        <w:t xml:space="preserve">  The aim is to </w:t>
      </w:r>
      <w:r w:rsidR="00E77193" w:rsidRPr="00ED47AE">
        <w:rPr>
          <w:rFonts w:asciiTheme="majorHAnsi" w:hAnsiTheme="majorHAnsi"/>
          <w:sz w:val="24"/>
        </w:rPr>
        <w:t xml:space="preserve">facilitate continuous peer-to-peer </w:t>
      </w:r>
      <w:r w:rsidR="00E77193">
        <w:rPr>
          <w:rFonts w:asciiTheme="majorHAnsi" w:hAnsiTheme="majorHAnsi"/>
          <w:sz w:val="24"/>
        </w:rPr>
        <w:t>learning, networking and partnerships.</w:t>
      </w:r>
    </w:p>
    <w:sectPr w:rsidR="00677251" w:rsidRPr="00E77193" w:rsidSect="00677251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166AF" w14:textId="77777777" w:rsidR="008B09D0" w:rsidRDefault="008B09D0">
      <w:r>
        <w:separator/>
      </w:r>
    </w:p>
  </w:endnote>
  <w:endnote w:type="continuationSeparator" w:id="0">
    <w:p w14:paraId="4F46D987" w14:textId="77777777" w:rsidR="008B09D0" w:rsidRDefault="008B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56999" w14:textId="77777777" w:rsidR="00924235" w:rsidRDefault="001D31B5" w:rsidP="004D03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242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15699A" w14:textId="77777777" w:rsidR="00924235" w:rsidRDefault="00924235" w:rsidP="004D03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5699B" w14:textId="77777777" w:rsidR="00924235" w:rsidRDefault="001D31B5" w:rsidP="004D03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2423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3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15699C" w14:textId="77777777" w:rsidR="00924235" w:rsidRDefault="00924235" w:rsidP="004D03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AFD47" w14:textId="77777777" w:rsidR="008B09D0" w:rsidRDefault="008B09D0">
      <w:r>
        <w:separator/>
      </w:r>
    </w:p>
  </w:footnote>
  <w:footnote w:type="continuationSeparator" w:id="0">
    <w:p w14:paraId="406EEA67" w14:textId="77777777" w:rsidR="008B09D0" w:rsidRDefault="008B0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F35D9"/>
    <w:multiLevelType w:val="hybridMultilevel"/>
    <w:tmpl w:val="0EB0B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C3B73"/>
    <w:multiLevelType w:val="hybridMultilevel"/>
    <w:tmpl w:val="F1E0D4C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43177C51"/>
    <w:multiLevelType w:val="hybridMultilevel"/>
    <w:tmpl w:val="B29C888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183"/>
    <w:rsid w:val="00060924"/>
    <w:rsid w:val="000C08E1"/>
    <w:rsid w:val="000F342E"/>
    <w:rsid w:val="000F6911"/>
    <w:rsid w:val="00102104"/>
    <w:rsid w:val="00130CB1"/>
    <w:rsid w:val="001414FC"/>
    <w:rsid w:val="00161F6F"/>
    <w:rsid w:val="001712DB"/>
    <w:rsid w:val="00174877"/>
    <w:rsid w:val="001A3183"/>
    <w:rsid w:val="001D31B5"/>
    <w:rsid w:val="001F7566"/>
    <w:rsid w:val="001F7A67"/>
    <w:rsid w:val="00214A8D"/>
    <w:rsid w:val="0023437F"/>
    <w:rsid w:val="00255125"/>
    <w:rsid w:val="002916B6"/>
    <w:rsid w:val="002B7787"/>
    <w:rsid w:val="002C658F"/>
    <w:rsid w:val="002E3181"/>
    <w:rsid w:val="002F0CF4"/>
    <w:rsid w:val="002F1A0A"/>
    <w:rsid w:val="00322F51"/>
    <w:rsid w:val="00331083"/>
    <w:rsid w:val="003530AE"/>
    <w:rsid w:val="003B3ACE"/>
    <w:rsid w:val="003C6456"/>
    <w:rsid w:val="003D114A"/>
    <w:rsid w:val="00460E0B"/>
    <w:rsid w:val="00471CB2"/>
    <w:rsid w:val="004A6AAD"/>
    <w:rsid w:val="004D0382"/>
    <w:rsid w:val="00517001"/>
    <w:rsid w:val="005715C2"/>
    <w:rsid w:val="005F508A"/>
    <w:rsid w:val="006365C7"/>
    <w:rsid w:val="00673CAE"/>
    <w:rsid w:val="00677251"/>
    <w:rsid w:val="00677442"/>
    <w:rsid w:val="00686528"/>
    <w:rsid w:val="006B1D51"/>
    <w:rsid w:val="00714CDA"/>
    <w:rsid w:val="007A4A9A"/>
    <w:rsid w:val="00807F1A"/>
    <w:rsid w:val="0081334B"/>
    <w:rsid w:val="00830057"/>
    <w:rsid w:val="008A33E7"/>
    <w:rsid w:val="008B09D0"/>
    <w:rsid w:val="008C12F4"/>
    <w:rsid w:val="008C3F20"/>
    <w:rsid w:val="008C53D7"/>
    <w:rsid w:val="00924235"/>
    <w:rsid w:val="00960C0D"/>
    <w:rsid w:val="00A278F1"/>
    <w:rsid w:val="00A30B44"/>
    <w:rsid w:val="00AC2859"/>
    <w:rsid w:val="00B21C6E"/>
    <w:rsid w:val="00BA78F5"/>
    <w:rsid w:val="00BB0357"/>
    <w:rsid w:val="00BB2B1A"/>
    <w:rsid w:val="00BB406E"/>
    <w:rsid w:val="00BB6A54"/>
    <w:rsid w:val="00C02285"/>
    <w:rsid w:val="00C27FBD"/>
    <w:rsid w:val="00CD3AA5"/>
    <w:rsid w:val="00CE597C"/>
    <w:rsid w:val="00D53230"/>
    <w:rsid w:val="00D61D3F"/>
    <w:rsid w:val="00DC611F"/>
    <w:rsid w:val="00DD623A"/>
    <w:rsid w:val="00E13C30"/>
    <w:rsid w:val="00E22BE7"/>
    <w:rsid w:val="00E77193"/>
    <w:rsid w:val="00ED4235"/>
    <w:rsid w:val="00ED47AE"/>
    <w:rsid w:val="00F01E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15698A"/>
  <w15:docId w15:val="{B2442925-013A-4060-934D-F56EA6A6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7CBD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List Paragraph11,Bullets,Numbered Paragraph,Main numbered paragraph,123 List Paragraph,Body,References,List_Paragraph,Multilevel para_II,List Paragraph1,Normal 2 DC,Numbered List Paragraph,Liste 1,Dot pt,lp1"/>
    <w:basedOn w:val="Normal"/>
    <w:link w:val="ListParagraphChar"/>
    <w:uiPriority w:val="34"/>
    <w:qFormat/>
    <w:rsid w:val="005F508A"/>
    <w:pPr>
      <w:ind w:left="720"/>
      <w:contextualSpacing/>
    </w:pPr>
    <w:rPr>
      <w:rFonts w:ascii="Times New Roman" w:eastAsia="SimSun" w:hAnsi="Times New Roman" w:cs="Times New Roman"/>
      <w:sz w:val="24"/>
      <w:lang w:eastAsia="zh-CN"/>
    </w:rPr>
  </w:style>
  <w:style w:type="character" w:customStyle="1" w:styleId="ListParagraphChar">
    <w:name w:val="List Paragraph Char"/>
    <w:aliases w:val="List Paragraph (numbered (a)) Char,List Paragraph11 Char,Bullets Char,Numbered Paragraph Char,Main numbered paragraph Char,123 List Paragraph Char,Body Char,References Char,List_Paragraph Char,Multilevel para_II Char,Normal 2 DC Char"/>
    <w:basedOn w:val="DefaultParagraphFont"/>
    <w:link w:val="ListParagraph"/>
    <w:uiPriority w:val="34"/>
    <w:qFormat/>
    <w:locked/>
    <w:rsid w:val="005F508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597C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C02285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Footer">
    <w:name w:val="footer"/>
    <w:basedOn w:val="Normal"/>
    <w:link w:val="FooterChar"/>
    <w:rsid w:val="004D03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0382"/>
    <w:rPr>
      <w:rFonts w:ascii="Calibri" w:hAnsi="Calibri"/>
      <w:sz w:val="22"/>
    </w:rPr>
  </w:style>
  <w:style w:type="character" w:styleId="PageNumber">
    <w:name w:val="page number"/>
    <w:basedOn w:val="DefaultParagraphFont"/>
    <w:rsid w:val="004D0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Larson</dc:creator>
  <cp:keywords/>
  <cp:lastModifiedBy>Ralitza Germanova</cp:lastModifiedBy>
  <cp:revision>7</cp:revision>
  <cp:lastPrinted>2021-06-26T00:33:00Z</cp:lastPrinted>
  <dcterms:created xsi:type="dcterms:W3CDTF">2021-06-26T16:53:00Z</dcterms:created>
  <dcterms:modified xsi:type="dcterms:W3CDTF">2021-07-15T03:01:00Z</dcterms:modified>
</cp:coreProperties>
</file>