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E3E56" w14:textId="77777777" w:rsidR="006B09EF" w:rsidRPr="00806618" w:rsidRDefault="002F1215" w:rsidP="006B09EF">
      <w:pPr>
        <w:rPr>
          <w:rFonts w:asciiTheme="majorHAnsi" w:hAnsiTheme="majorHAnsi"/>
          <w:color w:val="7F7F7F"/>
          <w:szCs w:val="32"/>
          <w:lang w:val="fr-FR"/>
        </w:rPr>
      </w:pPr>
      <w:r w:rsidRPr="00806618">
        <w:rPr>
          <w:rFonts w:asciiTheme="majorHAnsi" w:hAnsiTheme="majorHAnsi"/>
          <w:b/>
          <w:caps/>
          <w:noProof/>
          <w:color w:val="17365D"/>
          <w:szCs w:val="36"/>
          <w:lang w:eastAsia="en-US"/>
        </w:rPr>
        <w:drawing>
          <wp:anchor distT="0" distB="0" distL="114300" distR="114300" simplePos="0" relativeHeight="251655680" behindDoc="0" locked="0" layoutInCell="1" allowOverlap="1" wp14:anchorId="74067FA5" wp14:editId="385BDDBE">
            <wp:simplePos x="0" y="0"/>
            <wp:positionH relativeFrom="column">
              <wp:posOffset>3847465</wp:posOffset>
            </wp:positionH>
            <wp:positionV relativeFrom="paragraph">
              <wp:posOffset>0</wp:posOffset>
            </wp:positionV>
            <wp:extent cx="2157730" cy="821055"/>
            <wp:effectExtent l="0" t="0" r="0" b="0"/>
            <wp:wrapTight wrapText="bothSides">
              <wp:wrapPolygon edited="0">
                <wp:start x="2034" y="4009"/>
                <wp:lineTo x="1017" y="10023"/>
                <wp:lineTo x="1017" y="14701"/>
                <wp:lineTo x="1780" y="16037"/>
                <wp:lineTo x="4323" y="16037"/>
                <wp:lineTo x="15765" y="16037"/>
                <wp:lineTo x="19324" y="16037"/>
                <wp:lineTo x="20596" y="15369"/>
                <wp:lineTo x="20596" y="8019"/>
                <wp:lineTo x="16273" y="4677"/>
                <wp:lineTo x="4323" y="4009"/>
                <wp:lineTo x="2034" y="4009"/>
              </wp:wrapPolygon>
            </wp:wrapTight>
            <wp:docPr id="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618">
        <w:rPr>
          <w:rFonts w:asciiTheme="majorHAnsi" w:hAnsiTheme="majorHAnsi"/>
          <w:b/>
          <w:caps/>
          <w:noProof/>
          <w:color w:val="17365D"/>
          <w:szCs w:val="36"/>
          <w:lang w:eastAsia="en-US"/>
        </w:rPr>
        <w:drawing>
          <wp:anchor distT="0" distB="0" distL="114300" distR="114300" simplePos="0" relativeHeight="251653632" behindDoc="0" locked="0" layoutInCell="1" allowOverlap="1" wp14:anchorId="3756A528" wp14:editId="120AAEEC">
            <wp:simplePos x="0" y="0"/>
            <wp:positionH relativeFrom="column">
              <wp:posOffset>-503555</wp:posOffset>
            </wp:positionH>
            <wp:positionV relativeFrom="paragraph">
              <wp:posOffset>-184785</wp:posOffset>
            </wp:positionV>
            <wp:extent cx="1619250" cy="540385"/>
            <wp:effectExtent l="25400" t="0" r="6350" b="0"/>
            <wp:wrapTight wrapText="bothSides">
              <wp:wrapPolygon edited="0">
                <wp:start x="-339" y="0"/>
                <wp:lineTo x="-339" y="21321"/>
                <wp:lineTo x="21685" y="21321"/>
                <wp:lineTo x="21685" y="0"/>
                <wp:lineTo x="-339" y="0"/>
              </wp:wrapPolygon>
            </wp:wrapTight>
            <wp:docPr id="102" name="Picture 2" descr="C:\Users\RGermanova\AppData\Local\Microsoft\Windows\INetCache\Content.Word\UN SS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ermanova\AppData\Local\Microsoft\Windows\INetCache\Content.Word\UN SSE logo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9EF" w:rsidRPr="46DADF65">
        <w:rPr>
          <w:rFonts w:asciiTheme="majorHAnsi" w:hAnsiTheme="majorHAnsi"/>
        </w:rPr>
        <w:t xml:space="preserve"> </w:t>
      </w:r>
    </w:p>
    <w:p w14:paraId="3C4A4854" w14:textId="77777777" w:rsidR="006B09EF" w:rsidRPr="00806618" w:rsidRDefault="006B09EF" w:rsidP="006B09EF">
      <w:pPr>
        <w:jc w:val="center"/>
        <w:rPr>
          <w:rFonts w:asciiTheme="majorHAnsi" w:hAnsiTheme="majorHAnsi"/>
          <w:b/>
          <w:smallCaps/>
          <w:color w:val="003366"/>
          <w:spacing w:val="52"/>
          <w:szCs w:val="22"/>
          <w:lang w:val="fr-FR"/>
        </w:rPr>
      </w:pPr>
    </w:p>
    <w:p w14:paraId="08C58554" w14:textId="77777777" w:rsidR="00AA2A71" w:rsidRPr="00806618" w:rsidRDefault="00AA2A71" w:rsidP="006B09EF">
      <w:pPr>
        <w:jc w:val="center"/>
        <w:rPr>
          <w:rFonts w:asciiTheme="majorHAnsi" w:hAnsiTheme="majorHAnsi"/>
          <w:b/>
          <w:smallCaps/>
          <w:color w:val="003366"/>
          <w:spacing w:val="52"/>
          <w:szCs w:val="22"/>
          <w:lang w:val="fr-FR"/>
        </w:rPr>
      </w:pPr>
    </w:p>
    <w:p w14:paraId="1C988D95" w14:textId="77777777" w:rsidR="00806618" w:rsidRPr="00806618" w:rsidRDefault="00806618" w:rsidP="006B09EF">
      <w:pPr>
        <w:jc w:val="center"/>
        <w:rPr>
          <w:rFonts w:asciiTheme="majorHAnsi" w:hAnsiTheme="majorHAnsi"/>
          <w:b/>
          <w:color w:val="17365D"/>
          <w:szCs w:val="36"/>
        </w:rPr>
      </w:pPr>
    </w:p>
    <w:p w14:paraId="237C4B19" w14:textId="77777777" w:rsidR="00806618" w:rsidRPr="00806618" w:rsidRDefault="00806618" w:rsidP="006B09EF">
      <w:pPr>
        <w:jc w:val="center"/>
        <w:rPr>
          <w:rFonts w:asciiTheme="majorHAnsi" w:hAnsiTheme="majorHAnsi"/>
          <w:b/>
          <w:color w:val="17365D"/>
          <w:szCs w:val="36"/>
        </w:rPr>
      </w:pPr>
    </w:p>
    <w:p w14:paraId="7259B9DF" w14:textId="77777777" w:rsidR="00AA2A71" w:rsidRPr="00806618" w:rsidRDefault="00AA2A71" w:rsidP="006B09EF">
      <w:pPr>
        <w:jc w:val="center"/>
        <w:rPr>
          <w:rFonts w:asciiTheme="majorHAnsi" w:hAnsiTheme="majorHAnsi"/>
          <w:b/>
          <w:caps/>
          <w:color w:val="17365D"/>
          <w:szCs w:val="36"/>
        </w:rPr>
      </w:pPr>
      <w:r w:rsidRPr="00806618">
        <w:rPr>
          <w:rFonts w:asciiTheme="majorHAnsi" w:hAnsiTheme="majorHAnsi"/>
          <w:b/>
          <w:color w:val="17365D"/>
          <w:szCs w:val="36"/>
        </w:rPr>
        <w:t>Europe and Central Asia (ECA)</w:t>
      </w:r>
    </w:p>
    <w:p w14:paraId="773C9E43" w14:textId="77777777" w:rsidR="006B09EF" w:rsidRPr="00CB07AF" w:rsidRDefault="00AA2A71" w:rsidP="006B09EF">
      <w:pPr>
        <w:jc w:val="center"/>
        <w:rPr>
          <w:rFonts w:asciiTheme="majorHAnsi" w:hAnsiTheme="majorHAnsi"/>
          <w:b/>
          <w:caps/>
          <w:color w:val="294366"/>
          <w:szCs w:val="36"/>
        </w:rPr>
      </w:pPr>
      <w:r w:rsidRPr="00CB07AF">
        <w:rPr>
          <w:rFonts w:asciiTheme="majorHAnsi" w:hAnsiTheme="majorHAnsi"/>
          <w:b/>
          <w:caps/>
          <w:color w:val="294366"/>
          <w:szCs w:val="36"/>
        </w:rPr>
        <w:t>I</w:t>
      </w:r>
      <w:r w:rsidR="001E5327" w:rsidRPr="00CB07AF">
        <w:rPr>
          <w:rFonts w:asciiTheme="majorHAnsi" w:hAnsiTheme="majorHAnsi"/>
          <w:b/>
          <w:caps/>
          <w:color w:val="294366"/>
          <w:szCs w:val="36"/>
        </w:rPr>
        <w:t>ntegrated ESG standards Program</w:t>
      </w:r>
    </w:p>
    <w:p w14:paraId="6B907316" w14:textId="77777777" w:rsidR="006B09EF" w:rsidRPr="00806618" w:rsidRDefault="006B09EF" w:rsidP="006B09EF">
      <w:pPr>
        <w:jc w:val="center"/>
        <w:rPr>
          <w:rFonts w:asciiTheme="majorHAnsi" w:hAnsiTheme="majorHAnsi"/>
          <w:b/>
          <w:caps/>
          <w:color w:val="17365D"/>
          <w:szCs w:val="32"/>
        </w:rPr>
      </w:pPr>
    </w:p>
    <w:p w14:paraId="1F9C11D9" w14:textId="77777777" w:rsidR="006B09EF" w:rsidRPr="00806618" w:rsidRDefault="006B09EF" w:rsidP="006B09EF">
      <w:pPr>
        <w:jc w:val="center"/>
        <w:rPr>
          <w:rFonts w:asciiTheme="majorHAnsi" w:hAnsiTheme="majorHAnsi"/>
          <w:b/>
          <w:caps/>
          <w:color w:val="17365D"/>
          <w:szCs w:val="32"/>
        </w:rPr>
      </w:pPr>
      <w:r w:rsidRPr="00806618">
        <w:rPr>
          <w:rFonts w:asciiTheme="majorHAnsi" w:hAnsiTheme="majorHAnsi"/>
          <w:b/>
          <w:caps/>
          <w:color w:val="17365D"/>
          <w:szCs w:val="32"/>
        </w:rPr>
        <w:t xml:space="preserve">BEYOND the BALANCE SHEET: </w:t>
      </w:r>
    </w:p>
    <w:p w14:paraId="4165793D" w14:textId="77777777" w:rsidR="006B09EF" w:rsidRPr="00806618" w:rsidRDefault="006B09EF" w:rsidP="006B09EF">
      <w:pPr>
        <w:jc w:val="center"/>
        <w:rPr>
          <w:rFonts w:asciiTheme="majorHAnsi" w:hAnsiTheme="majorHAnsi"/>
          <w:b/>
          <w:caps/>
          <w:color w:val="17365D"/>
          <w:szCs w:val="32"/>
        </w:rPr>
      </w:pPr>
      <w:r w:rsidRPr="00806618">
        <w:rPr>
          <w:rFonts w:asciiTheme="majorHAnsi" w:hAnsiTheme="majorHAnsi"/>
          <w:b/>
          <w:caps/>
          <w:color w:val="17365D"/>
          <w:szCs w:val="32"/>
        </w:rPr>
        <w:t xml:space="preserve">DISCLOSURE &amp; TRANSPARENCY </w:t>
      </w:r>
    </w:p>
    <w:p w14:paraId="6CE8F6F8" w14:textId="77777777" w:rsidR="00367866" w:rsidRPr="00806618" w:rsidRDefault="00367866" w:rsidP="006B09EF">
      <w:pPr>
        <w:jc w:val="center"/>
        <w:rPr>
          <w:rFonts w:asciiTheme="majorHAnsi" w:hAnsiTheme="majorHAnsi"/>
          <w:b/>
          <w:caps/>
          <w:color w:val="17365D"/>
          <w:szCs w:val="32"/>
        </w:rPr>
      </w:pPr>
    </w:p>
    <w:p w14:paraId="405771D1" w14:textId="77777777" w:rsidR="006B09EF" w:rsidRPr="00806618" w:rsidRDefault="006B09EF" w:rsidP="006B09EF">
      <w:pPr>
        <w:jc w:val="center"/>
        <w:rPr>
          <w:rFonts w:asciiTheme="majorHAnsi" w:hAnsiTheme="majorHAnsi"/>
          <w:b/>
          <w:caps/>
          <w:color w:val="17365D"/>
        </w:rPr>
      </w:pPr>
      <w:r w:rsidRPr="7F9AEF0C">
        <w:rPr>
          <w:rFonts w:asciiTheme="majorHAnsi" w:hAnsiTheme="majorHAnsi"/>
          <w:b/>
          <w:caps/>
          <w:color w:val="17365D" w:themeColor="text2" w:themeShade="BF"/>
        </w:rPr>
        <w:t xml:space="preserve">Training of Trainers (TOT) </w:t>
      </w:r>
    </w:p>
    <w:p w14:paraId="75B64427" w14:textId="77777777" w:rsidR="006B09EF" w:rsidRPr="00806618" w:rsidRDefault="006B09EF" w:rsidP="006B09EF">
      <w:pPr>
        <w:jc w:val="center"/>
        <w:rPr>
          <w:rFonts w:asciiTheme="majorHAnsi" w:hAnsiTheme="majorHAnsi"/>
          <w:b/>
          <w:caps/>
          <w:color w:val="17365D"/>
        </w:rPr>
      </w:pPr>
    </w:p>
    <w:tbl>
      <w:tblPr>
        <w:tblW w:w="0" w:type="auto"/>
        <w:tblInd w:w="1548" w:type="dxa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</w:tblBorders>
        <w:shd w:val="clear" w:color="auto" w:fill="F3F3F3"/>
        <w:tblLook w:val="00A0" w:firstRow="1" w:lastRow="0" w:firstColumn="1" w:lastColumn="0" w:noHBand="0" w:noVBand="0"/>
      </w:tblPr>
      <w:tblGrid>
        <w:gridCol w:w="6456"/>
      </w:tblGrid>
      <w:tr w:rsidR="006B09EF" w:rsidRPr="00806618" w14:paraId="317F1687" w14:textId="77777777">
        <w:trPr>
          <w:trHeight w:val="3668"/>
        </w:trPr>
        <w:tc>
          <w:tcPr>
            <w:tcW w:w="6300" w:type="dxa"/>
            <w:shd w:val="clear" w:color="auto" w:fill="F3F3F3"/>
          </w:tcPr>
          <w:p w14:paraId="6C617537" w14:textId="77777777" w:rsidR="006B09EF" w:rsidRPr="00806618" w:rsidRDefault="006B09EF" w:rsidP="006B09EF">
            <w:pPr>
              <w:jc w:val="right"/>
              <w:rPr>
                <w:rFonts w:asciiTheme="majorHAnsi" w:hAnsiTheme="majorHAnsi"/>
                <w:b/>
                <w:smallCaps/>
                <w:color w:val="17365D"/>
                <w:spacing w:val="52"/>
                <w:szCs w:val="22"/>
                <w:lang w:val="fr-FR"/>
              </w:rPr>
            </w:pPr>
          </w:p>
          <w:p w14:paraId="71DAB24B" w14:textId="77777777" w:rsidR="006B09EF" w:rsidRPr="00806618" w:rsidRDefault="002F1215" w:rsidP="006B09EF">
            <w:pPr>
              <w:jc w:val="center"/>
              <w:rPr>
                <w:rFonts w:asciiTheme="majorHAnsi" w:hAnsiTheme="majorHAnsi"/>
                <w:b/>
                <w:smallCaps/>
                <w:color w:val="17365D"/>
                <w:spacing w:val="52"/>
                <w:szCs w:val="22"/>
                <w:lang w:val="fr-FR"/>
              </w:rPr>
            </w:pPr>
            <w:r w:rsidRPr="00806618">
              <w:rPr>
                <w:rFonts w:asciiTheme="majorHAnsi" w:hAnsiTheme="majorHAnsi"/>
                <w:b/>
                <w:smallCaps/>
                <w:noProof/>
                <w:color w:val="17365D"/>
                <w:spacing w:val="52"/>
                <w:szCs w:val="22"/>
                <w:lang w:eastAsia="en-US"/>
              </w:rPr>
              <w:drawing>
                <wp:inline distT="0" distB="0" distL="0" distR="0" wp14:anchorId="3EE560D6" wp14:editId="00C0C810">
                  <wp:extent cx="3931920" cy="3088640"/>
                  <wp:effectExtent l="25400" t="0" r="5080" b="0"/>
                  <wp:docPr id="2" name="Picture 2" descr="Stonework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nework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308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6D610" w14:textId="77777777" w:rsidR="006B09EF" w:rsidRPr="00806618" w:rsidRDefault="006B09EF" w:rsidP="006B09EF">
            <w:pPr>
              <w:jc w:val="center"/>
              <w:rPr>
                <w:rFonts w:asciiTheme="majorHAnsi" w:hAnsiTheme="majorHAnsi"/>
                <w:b/>
                <w:smallCaps/>
                <w:color w:val="17365D"/>
                <w:spacing w:val="52"/>
                <w:szCs w:val="22"/>
                <w:lang w:val="fr-FR"/>
              </w:rPr>
            </w:pPr>
          </w:p>
        </w:tc>
      </w:tr>
    </w:tbl>
    <w:p w14:paraId="7390167A" w14:textId="77777777" w:rsidR="006B09EF" w:rsidRPr="00806618" w:rsidRDefault="006B09EF" w:rsidP="006B09EF">
      <w:pPr>
        <w:jc w:val="center"/>
        <w:rPr>
          <w:rFonts w:asciiTheme="majorHAnsi" w:hAnsiTheme="majorHAnsi"/>
          <w:b/>
          <w:color w:val="17365D"/>
          <w:szCs w:val="36"/>
        </w:rPr>
      </w:pPr>
    </w:p>
    <w:p w14:paraId="79BB3390" w14:textId="77777777" w:rsidR="00367866" w:rsidRPr="00BE0382" w:rsidRDefault="002A5D22" w:rsidP="002A5D22">
      <w:pPr>
        <w:spacing w:before="120"/>
        <w:jc w:val="center"/>
        <w:rPr>
          <w:rFonts w:asciiTheme="majorHAnsi" w:hAnsiTheme="majorHAnsi"/>
          <w:b/>
          <w:color w:val="17365D"/>
          <w:sz w:val="28"/>
          <w:szCs w:val="28"/>
        </w:rPr>
      </w:pPr>
      <w:r w:rsidRPr="00BE0382">
        <w:rPr>
          <w:rFonts w:asciiTheme="majorHAnsi" w:hAnsiTheme="majorHAnsi"/>
          <w:b/>
          <w:sz w:val="28"/>
          <w:szCs w:val="28"/>
        </w:rPr>
        <w:t xml:space="preserve">Three-Webinar Series: </w:t>
      </w:r>
      <w:r w:rsidR="001E5327" w:rsidRPr="00BE0382">
        <w:rPr>
          <w:rFonts w:asciiTheme="majorHAnsi" w:hAnsiTheme="majorHAnsi"/>
          <w:b/>
          <w:sz w:val="28"/>
          <w:szCs w:val="28"/>
        </w:rPr>
        <w:t>June 9</w:t>
      </w:r>
      <w:r w:rsidR="00367866" w:rsidRPr="00BE0382">
        <w:rPr>
          <w:rFonts w:asciiTheme="majorHAnsi" w:hAnsiTheme="majorHAnsi"/>
          <w:b/>
          <w:sz w:val="28"/>
          <w:szCs w:val="28"/>
        </w:rPr>
        <w:t>,</w:t>
      </w:r>
      <w:r w:rsidRPr="00BE0382">
        <w:rPr>
          <w:rFonts w:asciiTheme="majorHAnsi" w:hAnsiTheme="majorHAnsi"/>
          <w:b/>
          <w:sz w:val="28"/>
          <w:szCs w:val="28"/>
        </w:rPr>
        <w:t xml:space="preserve"> 16 and 23,</w:t>
      </w:r>
      <w:r w:rsidR="00367866" w:rsidRPr="00BE0382">
        <w:rPr>
          <w:rFonts w:asciiTheme="majorHAnsi" w:hAnsiTheme="majorHAnsi"/>
          <w:b/>
          <w:sz w:val="28"/>
          <w:szCs w:val="28"/>
        </w:rPr>
        <w:t xml:space="preserve"> 2021 </w:t>
      </w:r>
    </w:p>
    <w:p w14:paraId="1DB61539" w14:textId="77777777" w:rsidR="006B09EF" w:rsidRDefault="00367866" w:rsidP="006B09EF">
      <w:pPr>
        <w:jc w:val="center"/>
        <w:rPr>
          <w:rFonts w:asciiTheme="majorHAnsi" w:hAnsiTheme="majorHAnsi"/>
          <w:b/>
          <w:color w:val="17365D"/>
          <w:szCs w:val="36"/>
        </w:rPr>
      </w:pPr>
      <w:r w:rsidRPr="00806618">
        <w:rPr>
          <w:rFonts w:asciiTheme="majorHAnsi" w:hAnsiTheme="majorHAnsi"/>
          <w:b/>
          <w:color w:val="17365D"/>
          <w:szCs w:val="36"/>
        </w:rPr>
        <w:t xml:space="preserve">Time: </w:t>
      </w:r>
      <w:r w:rsidR="002F05D1">
        <w:rPr>
          <w:rFonts w:asciiTheme="majorHAnsi" w:hAnsiTheme="majorHAnsi"/>
          <w:b/>
          <w:color w:val="17365D"/>
          <w:szCs w:val="36"/>
        </w:rPr>
        <w:t>13:00 – 16:00 CET</w:t>
      </w:r>
      <w:r w:rsidR="0097561C">
        <w:rPr>
          <w:rFonts w:asciiTheme="majorHAnsi" w:hAnsiTheme="majorHAnsi"/>
          <w:b/>
          <w:color w:val="17365D"/>
          <w:szCs w:val="36"/>
        </w:rPr>
        <w:t xml:space="preserve"> (7:00 – 10:00 EST)</w:t>
      </w:r>
    </w:p>
    <w:p w14:paraId="6D58F390" w14:textId="77777777" w:rsidR="0097561C" w:rsidRPr="00806618" w:rsidRDefault="0097561C" w:rsidP="0097561C">
      <w:pPr>
        <w:rPr>
          <w:rFonts w:asciiTheme="majorHAnsi" w:hAnsiTheme="majorHAnsi"/>
          <w:b/>
          <w:color w:val="17365D"/>
          <w:szCs w:val="36"/>
        </w:rPr>
      </w:pPr>
    </w:p>
    <w:p w14:paraId="0884BC93" w14:textId="77777777" w:rsidR="006B09EF" w:rsidRPr="00806618" w:rsidRDefault="006B09EF" w:rsidP="006B09EF">
      <w:pPr>
        <w:jc w:val="center"/>
        <w:rPr>
          <w:rFonts w:asciiTheme="majorHAnsi" w:hAnsiTheme="majorHAnsi"/>
          <w:b/>
          <w:color w:val="17365D"/>
          <w:szCs w:val="36"/>
        </w:rPr>
      </w:pPr>
      <w:r w:rsidRPr="00806618">
        <w:rPr>
          <w:rFonts w:asciiTheme="majorHAnsi" w:hAnsiTheme="majorHAnsi"/>
          <w:b/>
          <w:color w:val="17365D"/>
          <w:szCs w:val="36"/>
        </w:rPr>
        <w:t xml:space="preserve">Venue: </w:t>
      </w:r>
      <w:hyperlink r:id="rId14" w:history="1">
        <w:r w:rsidR="00224820">
          <w:rPr>
            <w:rStyle w:val="Hyperlink"/>
            <w:rFonts w:asciiTheme="majorHAnsi" w:hAnsiTheme="majorHAnsi"/>
            <w:b/>
            <w:szCs w:val="36"/>
          </w:rPr>
          <w:t>ZOOM MEETING L</w:t>
        </w:r>
        <w:r w:rsidR="00C0342F" w:rsidRPr="00224820">
          <w:rPr>
            <w:rStyle w:val="Hyperlink"/>
            <w:rFonts w:asciiTheme="majorHAnsi" w:hAnsiTheme="majorHAnsi"/>
            <w:b/>
            <w:szCs w:val="36"/>
          </w:rPr>
          <w:t>INK</w:t>
        </w:r>
      </w:hyperlink>
    </w:p>
    <w:p w14:paraId="6742FE2F" w14:textId="77777777" w:rsidR="006B09EF" w:rsidRPr="00806618" w:rsidRDefault="006B09EF" w:rsidP="006B09E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="Calibri"/>
          <w:color w:val="17365D"/>
          <w:szCs w:val="30"/>
          <w:lang w:eastAsia="en-US"/>
        </w:rPr>
      </w:pPr>
    </w:p>
    <w:p w14:paraId="101E466A" w14:textId="77777777" w:rsidR="00806618" w:rsidRPr="00806618" w:rsidRDefault="00806618" w:rsidP="006B09E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="Calibri"/>
          <w:color w:val="17365D"/>
          <w:szCs w:val="30"/>
          <w:lang w:eastAsia="en-US"/>
        </w:rPr>
      </w:pPr>
    </w:p>
    <w:p w14:paraId="74801537" w14:textId="77777777" w:rsidR="00806618" w:rsidRPr="00806618" w:rsidRDefault="00806618" w:rsidP="006B09E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="Calibri"/>
          <w:color w:val="17365D"/>
          <w:szCs w:val="30"/>
          <w:lang w:eastAsia="en-US"/>
        </w:rPr>
      </w:pPr>
    </w:p>
    <w:p w14:paraId="70BACE79" w14:textId="77777777" w:rsidR="006B09EF" w:rsidRDefault="006B09EF" w:rsidP="006B09EF">
      <w:pPr>
        <w:rPr>
          <w:rFonts w:asciiTheme="majorHAnsi" w:hAnsiTheme="majorHAnsi"/>
          <w:iCs/>
          <w:color w:val="17365D"/>
          <w:szCs w:val="16"/>
        </w:rPr>
      </w:pPr>
      <w:r w:rsidRPr="00806618">
        <w:rPr>
          <w:rFonts w:asciiTheme="majorHAnsi" w:hAnsiTheme="majorHAnsi"/>
          <w:iCs/>
          <w:color w:val="17365D"/>
          <w:szCs w:val="20"/>
        </w:rPr>
        <w:t xml:space="preserve">  </w:t>
      </w:r>
      <w:r w:rsidRPr="00806618">
        <w:rPr>
          <w:rFonts w:asciiTheme="majorHAnsi" w:hAnsiTheme="majorHAnsi"/>
          <w:iCs/>
          <w:color w:val="17365D"/>
          <w:szCs w:val="16"/>
        </w:rPr>
        <w:t>IN PARTNERSHIP WITH</w:t>
      </w:r>
    </w:p>
    <w:p w14:paraId="498FDC96" w14:textId="77777777" w:rsidR="00425868" w:rsidRPr="00806618" w:rsidRDefault="00425868" w:rsidP="006B09EF">
      <w:pPr>
        <w:rPr>
          <w:rFonts w:asciiTheme="majorHAnsi" w:hAnsiTheme="majorHAnsi"/>
          <w:iCs/>
          <w:color w:val="17365D"/>
          <w:szCs w:val="16"/>
        </w:rPr>
      </w:pPr>
    </w:p>
    <w:p w14:paraId="2F0E3E3C" w14:textId="77777777" w:rsidR="006B09EF" w:rsidRPr="00806618" w:rsidRDefault="002F1215" w:rsidP="00367866">
      <w:pPr>
        <w:spacing w:after="200" w:line="276" w:lineRule="auto"/>
        <w:ind w:left="720"/>
        <w:rPr>
          <w:rFonts w:asciiTheme="majorHAnsi" w:hAnsiTheme="majorHAnsi"/>
          <w:b/>
          <w:color w:val="17365D"/>
          <w:szCs w:val="22"/>
        </w:rPr>
      </w:pPr>
      <w:r w:rsidRPr="00806618">
        <w:rPr>
          <w:rFonts w:asciiTheme="majorHAnsi" w:hAnsiTheme="majorHAnsi"/>
          <w:b/>
          <w:noProof/>
          <w:color w:val="17365D"/>
          <w:szCs w:val="22"/>
          <w:lang w:eastAsia="en-US"/>
        </w:rPr>
        <w:drawing>
          <wp:inline distT="0" distB="0" distL="0" distR="0" wp14:anchorId="7EC7CAE0" wp14:editId="51BEF500">
            <wp:extent cx="2814955" cy="603885"/>
            <wp:effectExtent l="25400" t="0" r="444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618">
        <w:rPr>
          <w:rFonts w:asciiTheme="majorHAnsi" w:hAnsiTheme="majorHAnsi"/>
          <w:noProof/>
          <w:lang w:eastAsia="en-US"/>
        </w:rPr>
        <w:drawing>
          <wp:anchor distT="0" distB="0" distL="114300" distR="114300" simplePos="0" relativeHeight="251652608" behindDoc="0" locked="0" layoutInCell="1" allowOverlap="1" wp14:anchorId="25C9EF85" wp14:editId="4EF69815">
            <wp:simplePos x="0" y="0"/>
            <wp:positionH relativeFrom="column">
              <wp:posOffset>6116955</wp:posOffset>
            </wp:positionH>
            <wp:positionV relativeFrom="paragraph">
              <wp:posOffset>9225280</wp:posOffset>
            </wp:positionV>
            <wp:extent cx="1421130" cy="487680"/>
            <wp:effectExtent l="25400" t="0" r="1270" b="0"/>
            <wp:wrapNone/>
            <wp:docPr id="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618">
        <w:rPr>
          <w:rFonts w:asciiTheme="majorHAnsi" w:hAnsiTheme="majorHAnsi"/>
          <w:noProof/>
          <w:lang w:eastAsia="en-US"/>
        </w:rPr>
        <w:drawing>
          <wp:anchor distT="0" distB="0" distL="114300" distR="114300" simplePos="0" relativeHeight="251650560" behindDoc="0" locked="0" layoutInCell="1" allowOverlap="1" wp14:anchorId="65354481" wp14:editId="4791F1C3">
            <wp:simplePos x="0" y="0"/>
            <wp:positionH relativeFrom="column">
              <wp:posOffset>3860165</wp:posOffset>
            </wp:positionH>
            <wp:positionV relativeFrom="paragraph">
              <wp:posOffset>9248140</wp:posOffset>
            </wp:positionV>
            <wp:extent cx="2241550" cy="483870"/>
            <wp:effectExtent l="25400" t="0" r="0" b="0"/>
            <wp:wrapNone/>
            <wp:docPr id="61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4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618">
        <w:rPr>
          <w:rFonts w:asciiTheme="majorHAnsi" w:hAnsiTheme="majorHAnsi"/>
          <w:noProof/>
          <w:lang w:eastAsia="en-US"/>
        </w:rPr>
        <w:drawing>
          <wp:anchor distT="0" distB="0" distL="114300" distR="114300" simplePos="0" relativeHeight="251649536" behindDoc="0" locked="0" layoutInCell="1" allowOverlap="1" wp14:anchorId="44F4AB11" wp14:editId="79539439">
            <wp:simplePos x="0" y="0"/>
            <wp:positionH relativeFrom="column">
              <wp:posOffset>3860165</wp:posOffset>
            </wp:positionH>
            <wp:positionV relativeFrom="paragraph">
              <wp:posOffset>9248140</wp:posOffset>
            </wp:positionV>
            <wp:extent cx="2241550" cy="483870"/>
            <wp:effectExtent l="25400" t="0" r="0" b="0"/>
            <wp:wrapNone/>
            <wp:docPr id="60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4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76522C" w14:textId="77777777" w:rsidR="00806618" w:rsidRPr="00806618" w:rsidRDefault="00806618">
      <w:pPr>
        <w:pStyle w:val="ListParagraph"/>
        <w:spacing w:after="160" w:line="259" w:lineRule="auto"/>
        <w:jc w:val="both"/>
        <w:rPr>
          <w:rFonts w:asciiTheme="majorHAnsi" w:hAnsiTheme="majorHAnsi" w:cs="Arial"/>
          <w:b/>
          <w:szCs w:val="22"/>
          <w:lang w:val="en-GB"/>
        </w:rPr>
      </w:pPr>
    </w:p>
    <w:p w14:paraId="663B3BAC" w14:textId="77777777" w:rsidR="009731D5" w:rsidRDefault="009731D5" w:rsidP="00AA1F3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Arial"/>
          <w:b/>
          <w:szCs w:val="22"/>
          <w:lang w:val="en-GB"/>
        </w:rPr>
      </w:pPr>
    </w:p>
    <w:p w14:paraId="096D1F96" w14:textId="77777777" w:rsidR="000570BF" w:rsidRPr="00AA1F3E" w:rsidRDefault="006B09EF" w:rsidP="00AA1F3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TimesNewRomanPSMT"/>
        </w:rPr>
      </w:pPr>
      <w:r w:rsidRPr="00806618">
        <w:rPr>
          <w:rFonts w:asciiTheme="majorHAnsi" w:hAnsiTheme="majorHAnsi" w:cs="Arial"/>
          <w:b/>
          <w:szCs w:val="22"/>
          <w:lang w:val="en-GB"/>
        </w:rPr>
        <w:lastRenderedPageBreak/>
        <w:t>Disclosure and transparency (D&amp;T)</w:t>
      </w:r>
      <w:r w:rsidRPr="00806618">
        <w:rPr>
          <w:rFonts w:asciiTheme="majorHAnsi" w:hAnsiTheme="majorHAnsi" w:cs="Arial"/>
          <w:szCs w:val="22"/>
          <w:lang w:val="en-GB"/>
        </w:rPr>
        <w:t xml:space="preserve"> </w:t>
      </w:r>
      <w:r w:rsidRPr="00806618">
        <w:rPr>
          <w:rFonts w:asciiTheme="majorHAnsi" w:hAnsiTheme="majorHAnsi" w:cs="Arial"/>
          <w:b/>
          <w:szCs w:val="22"/>
          <w:lang w:val="en-GB"/>
        </w:rPr>
        <w:t>are critical for attracting capital and building resilient enterprises in emerging markets.</w:t>
      </w:r>
      <w:r w:rsidRPr="00806618">
        <w:rPr>
          <w:rFonts w:asciiTheme="majorHAnsi" w:hAnsiTheme="majorHAnsi" w:cs="Arial"/>
          <w:szCs w:val="22"/>
          <w:lang w:val="en-GB"/>
        </w:rPr>
        <w:t xml:space="preserve"> Transparent corporate reporting, integrating financial and </w:t>
      </w:r>
      <w:r w:rsidR="000570BF" w:rsidRPr="00806618">
        <w:rPr>
          <w:rFonts w:asciiTheme="majorHAnsi" w:hAnsiTheme="majorHAnsi" w:cs="Arial"/>
          <w:szCs w:val="22"/>
          <w:lang w:val="en-GB"/>
        </w:rPr>
        <w:t xml:space="preserve">sustainability </w:t>
      </w:r>
      <w:r w:rsidRPr="00806618">
        <w:rPr>
          <w:rFonts w:asciiTheme="majorHAnsi" w:hAnsiTheme="majorHAnsi" w:cs="Arial"/>
          <w:szCs w:val="22"/>
          <w:lang w:val="en-GB"/>
        </w:rPr>
        <w:t xml:space="preserve">information, increases trust and confidence </w:t>
      </w:r>
      <w:r w:rsidRPr="00806618">
        <w:rPr>
          <w:rFonts w:asciiTheme="majorHAnsi" w:eastAsia="Cambria" w:hAnsiTheme="majorHAnsi" w:cs="Arial"/>
          <w:szCs w:val="22"/>
          <w:lang w:val="en-GB"/>
        </w:rPr>
        <w:t xml:space="preserve">for investors and other stakeholders as it provides critical insights into how companies manage their operations and make decisions relevant to pursuing opportunities and managing risks. </w:t>
      </w:r>
      <w:r w:rsidR="000570BF" w:rsidRPr="00806618">
        <w:rPr>
          <w:rFonts w:asciiTheme="majorHAnsi" w:eastAsia="Cambria" w:hAnsiTheme="majorHAnsi" w:cs="Arial"/>
          <w:szCs w:val="22"/>
          <w:lang w:val="en-GB"/>
        </w:rPr>
        <w:t>Disclosure and transparency</w:t>
      </w:r>
      <w:r w:rsidRPr="00806618">
        <w:rPr>
          <w:rFonts w:asciiTheme="majorHAnsi" w:eastAsia="Cambria" w:hAnsiTheme="majorHAnsi" w:cs="Arial"/>
          <w:szCs w:val="22"/>
          <w:lang w:val="en-GB"/>
        </w:rPr>
        <w:t xml:space="preserve"> may also shed light on how companies create different types of long-term value, including contributions to addressing societal crises, such as the current pandemic. </w:t>
      </w:r>
      <w:r w:rsidR="000570BF" w:rsidRPr="00806618">
        <w:rPr>
          <w:rFonts w:asciiTheme="majorHAnsi" w:hAnsiTheme="majorHAnsi" w:cstheme="minorHAnsi"/>
        </w:rPr>
        <w:t xml:space="preserve">Market regulators and stock exchanges play a critical role in encouraging good corporate governance and transparency by developing and promoting sustainability requirements </w:t>
      </w:r>
      <w:r w:rsidR="00AA1F3E" w:rsidRPr="00806618">
        <w:rPr>
          <w:rFonts w:asciiTheme="majorHAnsi" w:hAnsiTheme="majorHAnsi" w:cs="TimesNewRomanPSMT"/>
        </w:rPr>
        <w:t xml:space="preserve">that reflect international best practices adapted to emerging markets and regional priorities. </w:t>
      </w:r>
    </w:p>
    <w:p w14:paraId="3A6178C3" w14:textId="77777777" w:rsidR="000570BF" w:rsidRPr="00806618" w:rsidRDefault="006B09EF" w:rsidP="00E11397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/>
          <w:b/>
          <w:szCs w:val="22"/>
        </w:rPr>
        <w:t xml:space="preserve">This </w:t>
      </w:r>
      <w:r w:rsidR="00C76C50" w:rsidRPr="00806618">
        <w:rPr>
          <w:rFonts w:asciiTheme="majorHAnsi" w:hAnsiTheme="majorHAnsi"/>
          <w:b/>
          <w:szCs w:val="22"/>
        </w:rPr>
        <w:t xml:space="preserve">D&amp;T </w:t>
      </w:r>
      <w:r w:rsidRPr="00806618">
        <w:rPr>
          <w:rFonts w:asciiTheme="majorHAnsi" w:hAnsiTheme="majorHAnsi"/>
          <w:b/>
          <w:szCs w:val="22"/>
        </w:rPr>
        <w:t>webinar</w:t>
      </w:r>
      <w:r w:rsidR="00E11397" w:rsidRPr="00806618">
        <w:rPr>
          <w:rFonts w:asciiTheme="majorHAnsi" w:hAnsiTheme="majorHAnsi"/>
          <w:b/>
          <w:szCs w:val="22"/>
        </w:rPr>
        <w:t xml:space="preserve"> series</w:t>
      </w:r>
      <w:r w:rsidRPr="00806618">
        <w:rPr>
          <w:rFonts w:asciiTheme="majorHAnsi" w:hAnsiTheme="majorHAnsi"/>
          <w:b/>
          <w:szCs w:val="22"/>
        </w:rPr>
        <w:t xml:space="preserve">, </w:t>
      </w:r>
      <w:r w:rsidR="006B2824" w:rsidRPr="00806618">
        <w:rPr>
          <w:rFonts w:asciiTheme="majorHAnsi" w:hAnsiTheme="majorHAnsi"/>
          <w:b/>
          <w:szCs w:val="22"/>
        </w:rPr>
        <w:t>developed</w:t>
      </w:r>
      <w:r w:rsidRPr="00806618">
        <w:rPr>
          <w:rFonts w:asciiTheme="majorHAnsi" w:hAnsiTheme="majorHAnsi"/>
          <w:b/>
          <w:szCs w:val="22"/>
        </w:rPr>
        <w:t xml:space="preserve"> jointly by the International Finance Corporation</w:t>
      </w:r>
      <w:r w:rsidR="002A5D22" w:rsidRPr="00806618">
        <w:rPr>
          <w:rFonts w:asciiTheme="majorHAnsi" w:hAnsiTheme="majorHAnsi"/>
          <w:b/>
          <w:szCs w:val="22"/>
        </w:rPr>
        <w:t xml:space="preserve"> (IFC)</w:t>
      </w:r>
      <w:r w:rsidRPr="00806618">
        <w:rPr>
          <w:rFonts w:asciiTheme="majorHAnsi" w:hAnsiTheme="majorHAnsi"/>
          <w:b/>
          <w:szCs w:val="22"/>
        </w:rPr>
        <w:t xml:space="preserve"> and UN Sustainable Stock Exchanges Initiative (UN SSE) aims to </w:t>
      </w:r>
      <w:r w:rsidRPr="00806618">
        <w:rPr>
          <w:rFonts w:asciiTheme="majorHAnsi" w:hAnsiTheme="majorHAnsi" w:cs="Arial"/>
          <w:szCs w:val="22"/>
          <w:lang w:val="en-GB"/>
        </w:rPr>
        <w:t xml:space="preserve">help </w:t>
      </w:r>
      <w:r w:rsidR="000570BF" w:rsidRPr="00806618">
        <w:rPr>
          <w:rFonts w:asciiTheme="majorHAnsi" w:hAnsiTheme="majorHAnsi" w:cs="Arial"/>
          <w:szCs w:val="22"/>
          <w:lang w:val="en-GB"/>
        </w:rPr>
        <w:t xml:space="preserve">IFC’s partners </w:t>
      </w:r>
      <w:r w:rsidRPr="00806618">
        <w:rPr>
          <w:rFonts w:asciiTheme="majorHAnsi" w:hAnsiTheme="majorHAnsi" w:cs="Arial"/>
          <w:szCs w:val="22"/>
          <w:lang w:val="en-GB"/>
        </w:rPr>
        <w:t xml:space="preserve">in </w:t>
      </w:r>
      <w:r w:rsidR="002A5D22" w:rsidRPr="00806618">
        <w:rPr>
          <w:rFonts w:asciiTheme="majorHAnsi" w:hAnsiTheme="majorHAnsi" w:cs="Arial"/>
          <w:szCs w:val="22"/>
          <w:lang w:val="en-GB"/>
        </w:rPr>
        <w:t>Europe and Central Asia</w:t>
      </w:r>
      <w:r w:rsidR="000570BF" w:rsidRPr="00806618">
        <w:rPr>
          <w:rFonts w:asciiTheme="majorHAnsi" w:hAnsiTheme="majorHAnsi" w:cs="Arial"/>
          <w:szCs w:val="22"/>
          <w:lang w:val="en-GB"/>
        </w:rPr>
        <w:t xml:space="preserve"> to:</w:t>
      </w:r>
    </w:p>
    <w:p w14:paraId="48629E51" w14:textId="77777777" w:rsidR="007B4AB2" w:rsidRPr="00806618" w:rsidRDefault="007B4AB2" w:rsidP="007B4AB2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 w:cs="Arial"/>
          <w:szCs w:val="22"/>
          <w:lang w:val="en-GB"/>
        </w:rPr>
        <w:t>Understand the international and EU sustainability disclosure landscape</w:t>
      </w:r>
      <w:r w:rsidR="000447F5" w:rsidRPr="00806618">
        <w:rPr>
          <w:rFonts w:asciiTheme="majorHAnsi" w:hAnsiTheme="majorHAnsi" w:cs="Arial"/>
          <w:szCs w:val="22"/>
          <w:lang w:val="en-GB"/>
        </w:rPr>
        <w:t>.</w:t>
      </w:r>
      <w:r w:rsidRPr="00806618">
        <w:rPr>
          <w:rFonts w:asciiTheme="majorHAnsi" w:hAnsiTheme="majorHAnsi" w:cs="Arial"/>
          <w:szCs w:val="22"/>
          <w:lang w:val="en-GB"/>
        </w:rPr>
        <w:t xml:space="preserve"> </w:t>
      </w:r>
    </w:p>
    <w:p w14:paraId="0A605C3A" w14:textId="77777777" w:rsidR="007B4AB2" w:rsidRPr="00806618" w:rsidRDefault="007B4AB2" w:rsidP="007B4AB2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 w:cs="Arial"/>
          <w:szCs w:val="22"/>
          <w:lang w:val="en-GB"/>
        </w:rPr>
        <w:t xml:space="preserve">Practice how to prepare and assess annual reports </w:t>
      </w:r>
      <w:r w:rsidR="001E0560" w:rsidRPr="00806618">
        <w:rPr>
          <w:rFonts w:asciiTheme="majorHAnsi" w:hAnsiTheme="majorHAnsi" w:cs="Arial"/>
          <w:szCs w:val="22"/>
          <w:lang w:val="en-GB"/>
        </w:rPr>
        <w:t>for</w:t>
      </w:r>
      <w:r w:rsidRPr="00806618">
        <w:rPr>
          <w:rFonts w:asciiTheme="majorHAnsi" w:hAnsiTheme="majorHAnsi" w:cs="Arial"/>
          <w:szCs w:val="22"/>
          <w:lang w:val="en-GB"/>
        </w:rPr>
        <w:t xml:space="preserve"> investors and other stakeholders, integrating financial and sustainability information according to good international practice</w:t>
      </w:r>
      <w:r w:rsidR="000447F5" w:rsidRPr="00806618">
        <w:rPr>
          <w:rFonts w:asciiTheme="majorHAnsi" w:hAnsiTheme="majorHAnsi" w:cs="Arial"/>
          <w:szCs w:val="22"/>
          <w:lang w:val="en-GB"/>
        </w:rPr>
        <w:t>.</w:t>
      </w:r>
    </w:p>
    <w:p w14:paraId="2DBEC588" w14:textId="77777777" w:rsidR="007B4AB2" w:rsidRPr="00806618" w:rsidRDefault="00A604C3" w:rsidP="007B4AB2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 w:cs="Arial"/>
          <w:szCs w:val="22"/>
          <w:lang w:val="en-GB"/>
        </w:rPr>
        <w:t xml:space="preserve"> </w:t>
      </w:r>
      <w:r w:rsidR="00F34E14">
        <w:rPr>
          <w:rFonts w:asciiTheme="majorHAnsi" w:hAnsiTheme="majorHAnsi" w:cs="Arial"/>
          <w:szCs w:val="22"/>
          <w:lang w:val="en-GB"/>
        </w:rPr>
        <w:t>Enhance</w:t>
      </w:r>
      <w:r w:rsidR="007B4AB2" w:rsidRPr="00806618">
        <w:rPr>
          <w:rFonts w:asciiTheme="majorHAnsi" w:hAnsiTheme="majorHAnsi" w:cs="Arial"/>
          <w:szCs w:val="22"/>
          <w:lang w:val="en-GB"/>
        </w:rPr>
        <w:t xml:space="preserve"> </w:t>
      </w:r>
      <w:r w:rsidR="00335C76">
        <w:rPr>
          <w:rFonts w:asciiTheme="majorHAnsi" w:hAnsiTheme="majorHAnsi" w:cs="Arial"/>
          <w:szCs w:val="22"/>
          <w:lang w:val="en-GB"/>
        </w:rPr>
        <w:t xml:space="preserve">the </w:t>
      </w:r>
      <w:r w:rsidR="00F34E14">
        <w:rPr>
          <w:rFonts w:asciiTheme="majorHAnsi" w:hAnsiTheme="majorHAnsi" w:cs="Arial"/>
          <w:szCs w:val="22"/>
          <w:lang w:val="en-GB"/>
        </w:rPr>
        <w:t xml:space="preserve">knowledge base, </w:t>
      </w:r>
      <w:r w:rsidR="007B4AB2" w:rsidRPr="00806618">
        <w:rPr>
          <w:rFonts w:asciiTheme="majorHAnsi" w:hAnsiTheme="majorHAnsi" w:cs="Arial"/>
          <w:szCs w:val="22"/>
          <w:lang w:val="en-GB"/>
        </w:rPr>
        <w:t>skills set</w:t>
      </w:r>
      <w:r w:rsidR="00335C76">
        <w:rPr>
          <w:rFonts w:asciiTheme="majorHAnsi" w:hAnsiTheme="majorHAnsi" w:cs="Arial"/>
          <w:szCs w:val="22"/>
          <w:lang w:val="en-GB"/>
        </w:rPr>
        <w:t>s</w:t>
      </w:r>
      <w:r w:rsidR="00F34E14">
        <w:rPr>
          <w:rFonts w:asciiTheme="majorHAnsi" w:hAnsiTheme="majorHAnsi" w:cs="Arial"/>
          <w:szCs w:val="22"/>
          <w:lang w:val="en-GB"/>
        </w:rPr>
        <w:t xml:space="preserve"> and access resources</w:t>
      </w:r>
      <w:r w:rsidR="007B4AB2" w:rsidRPr="00806618">
        <w:rPr>
          <w:rFonts w:asciiTheme="majorHAnsi" w:hAnsiTheme="majorHAnsi" w:cs="Arial"/>
          <w:szCs w:val="22"/>
          <w:lang w:val="en-GB"/>
        </w:rPr>
        <w:t xml:space="preserve"> to provide:</w:t>
      </w:r>
    </w:p>
    <w:p w14:paraId="0AACCF8C" w14:textId="77777777" w:rsidR="007B4AB2" w:rsidRPr="00806618" w:rsidRDefault="000447F5" w:rsidP="009731D5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240" w:after="240"/>
        <w:ind w:left="81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 w:cs="Arial"/>
          <w:szCs w:val="22"/>
          <w:lang w:val="en-GB"/>
        </w:rPr>
        <w:t>T</w:t>
      </w:r>
      <w:r w:rsidR="007B4AB2" w:rsidRPr="00806618">
        <w:rPr>
          <w:rFonts w:asciiTheme="majorHAnsi" w:hAnsiTheme="majorHAnsi" w:cs="Arial"/>
          <w:szCs w:val="22"/>
          <w:lang w:val="en-GB"/>
        </w:rPr>
        <w:t>raining on sustainability disclosure</w:t>
      </w:r>
      <w:r w:rsidR="001E0560" w:rsidRPr="00806618">
        <w:rPr>
          <w:rFonts w:asciiTheme="majorHAnsi" w:hAnsiTheme="majorHAnsi" w:cs="Arial"/>
          <w:szCs w:val="22"/>
          <w:lang w:val="en-GB"/>
        </w:rPr>
        <w:t xml:space="preserve"> for companies, banks and boards of directors</w:t>
      </w:r>
      <w:r w:rsidR="00335C76">
        <w:rPr>
          <w:rFonts w:asciiTheme="majorHAnsi" w:hAnsiTheme="majorHAnsi" w:cs="Arial"/>
          <w:szCs w:val="22"/>
          <w:lang w:val="en-GB"/>
        </w:rPr>
        <w:t>; and</w:t>
      </w:r>
    </w:p>
    <w:p w14:paraId="22A2D8DF" w14:textId="77777777" w:rsidR="00AA1F3E" w:rsidRPr="00806618" w:rsidRDefault="00335C76" w:rsidP="009731D5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240" w:after="240"/>
        <w:ind w:left="810"/>
        <w:jc w:val="both"/>
        <w:rPr>
          <w:rFonts w:asciiTheme="majorHAnsi" w:hAnsiTheme="majorHAnsi" w:cs="Arial"/>
          <w:szCs w:val="22"/>
          <w:lang w:val="en-GB"/>
        </w:rPr>
      </w:pPr>
      <w:r w:rsidRPr="00806618">
        <w:rPr>
          <w:rFonts w:asciiTheme="majorHAnsi" w:hAnsiTheme="majorHAnsi" w:cs="Arial"/>
          <w:szCs w:val="22"/>
          <w:lang w:val="en-GB"/>
        </w:rPr>
        <w:t>P</w:t>
      </w:r>
      <w:r>
        <w:rPr>
          <w:rFonts w:asciiTheme="majorHAnsi" w:hAnsiTheme="majorHAnsi" w:cs="Arial"/>
          <w:szCs w:val="22"/>
          <w:lang w:val="en-GB"/>
        </w:rPr>
        <w:t xml:space="preserve">olicy support </w:t>
      </w:r>
      <w:r w:rsidR="007B4AB2" w:rsidRPr="00806618">
        <w:rPr>
          <w:rFonts w:asciiTheme="majorHAnsi" w:hAnsiTheme="majorHAnsi" w:cs="Arial"/>
          <w:szCs w:val="22"/>
          <w:lang w:val="en-GB"/>
        </w:rPr>
        <w:t>on developing ESG reporting guidelines and understanding of green finance</w:t>
      </w:r>
      <w:r>
        <w:rPr>
          <w:rFonts w:asciiTheme="majorHAnsi" w:hAnsiTheme="majorHAnsi" w:cs="Arial"/>
          <w:szCs w:val="22"/>
          <w:lang w:val="en-GB"/>
        </w:rPr>
        <w:t xml:space="preserve"> for regulators and stock exchanges.</w:t>
      </w:r>
    </w:p>
    <w:p w14:paraId="5C66A087" w14:textId="77777777" w:rsidR="00C475D2" w:rsidRPr="00806618" w:rsidRDefault="00136E1D" w:rsidP="00945410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inorHAnsi"/>
        </w:rPr>
      </w:pPr>
      <w:r w:rsidRPr="00806618">
        <w:rPr>
          <w:rFonts w:asciiTheme="majorHAnsi" w:hAnsiTheme="majorHAnsi" w:cstheme="minorHAnsi"/>
          <w:b/>
          <w:bCs/>
        </w:rPr>
        <w:t xml:space="preserve">The </w:t>
      </w:r>
      <w:r w:rsidR="00945410" w:rsidRPr="00806618">
        <w:rPr>
          <w:rFonts w:asciiTheme="majorHAnsi" w:hAnsiTheme="majorHAnsi" w:cstheme="minorHAnsi"/>
          <w:b/>
          <w:bCs/>
        </w:rPr>
        <w:t>Integrated ESG Standards Program</w:t>
      </w:r>
      <w:r w:rsidR="009731D5">
        <w:rPr>
          <w:rFonts w:asciiTheme="majorHAnsi" w:hAnsiTheme="majorHAnsi" w:cstheme="minorHAnsi"/>
          <w:bCs/>
        </w:rPr>
        <w:t xml:space="preserve"> has organized</w:t>
      </w:r>
      <w:r w:rsidR="00945410" w:rsidRPr="00806618">
        <w:rPr>
          <w:rFonts w:asciiTheme="majorHAnsi" w:hAnsiTheme="majorHAnsi" w:cstheme="minorHAnsi"/>
          <w:bCs/>
        </w:rPr>
        <w:t xml:space="preserve"> this </w:t>
      </w:r>
      <w:r w:rsidR="001A0537" w:rsidRPr="00806618">
        <w:rPr>
          <w:rFonts w:asciiTheme="majorHAnsi" w:hAnsiTheme="majorHAnsi" w:cstheme="minorHAnsi"/>
          <w:bCs/>
        </w:rPr>
        <w:t xml:space="preserve">webinar </w:t>
      </w:r>
      <w:r w:rsidR="00945410" w:rsidRPr="00806618">
        <w:rPr>
          <w:rFonts w:asciiTheme="majorHAnsi" w:hAnsiTheme="majorHAnsi" w:cstheme="minorHAnsi"/>
          <w:bCs/>
        </w:rPr>
        <w:t xml:space="preserve">series to </w:t>
      </w:r>
      <w:r w:rsidR="00E37691" w:rsidRPr="00806618">
        <w:rPr>
          <w:rFonts w:asciiTheme="majorHAnsi" w:hAnsiTheme="majorHAnsi" w:cstheme="minorHAnsi"/>
          <w:bCs/>
        </w:rPr>
        <w:t xml:space="preserve">help partner institutions deepen </w:t>
      </w:r>
      <w:r w:rsidR="00675158" w:rsidRPr="00806618">
        <w:rPr>
          <w:rFonts w:asciiTheme="majorHAnsi" w:hAnsiTheme="majorHAnsi" w:cstheme="minorHAnsi"/>
          <w:bCs/>
        </w:rPr>
        <w:t>their</w:t>
      </w:r>
      <w:r w:rsidR="00E37691" w:rsidRPr="00806618">
        <w:rPr>
          <w:rFonts w:asciiTheme="majorHAnsi" w:hAnsiTheme="majorHAnsi" w:cstheme="minorHAnsi"/>
          <w:bCs/>
        </w:rPr>
        <w:t xml:space="preserve"> knowledge</w:t>
      </w:r>
      <w:r w:rsidR="00675158" w:rsidRPr="00806618">
        <w:rPr>
          <w:rFonts w:asciiTheme="majorHAnsi" w:hAnsiTheme="majorHAnsi" w:cstheme="minorHAnsi"/>
          <w:bCs/>
        </w:rPr>
        <w:t xml:space="preserve"> of </w:t>
      </w:r>
      <w:r w:rsidR="007B4AB2" w:rsidRPr="00806618">
        <w:rPr>
          <w:rFonts w:asciiTheme="majorHAnsi" w:hAnsiTheme="majorHAnsi" w:cstheme="minorHAnsi"/>
          <w:bCs/>
        </w:rPr>
        <w:t>sustainability disclosure and transparency</w:t>
      </w:r>
      <w:r w:rsidR="00675158" w:rsidRPr="00806618">
        <w:rPr>
          <w:rFonts w:asciiTheme="majorHAnsi" w:hAnsiTheme="majorHAnsi" w:cstheme="minorHAnsi"/>
          <w:bCs/>
        </w:rPr>
        <w:t xml:space="preserve"> and to build </w:t>
      </w:r>
      <w:r w:rsidRPr="00806618">
        <w:rPr>
          <w:rFonts w:asciiTheme="majorHAnsi" w:hAnsiTheme="majorHAnsi" w:cstheme="minorHAnsi"/>
          <w:bCs/>
        </w:rPr>
        <w:t xml:space="preserve">regional </w:t>
      </w:r>
      <w:r w:rsidR="00675158" w:rsidRPr="00806618">
        <w:rPr>
          <w:rFonts w:asciiTheme="majorHAnsi" w:hAnsiTheme="majorHAnsi" w:cstheme="minorHAnsi"/>
          <w:bCs/>
        </w:rPr>
        <w:t xml:space="preserve">capacities to adapt </w:t>
      </w:r>
      <w:r w:rsidR="00E37691" w:rsidRPr="00806618">
        <w:rPr>
          <w:rFonts w:asciiTheme="majorHAnsi" w:hAnsiTheme="majorHAnsi" w:cs="Arial"/>
          <w:color w:val="0F243E" w:themeColor="text2" w:themeShade="80"/>
          <w:szCs w:val="22"/>
          <w:u w:val="single"/>
          <w:lang w:val="en-GB"/>
        </w:rPr>
        <w:t>IFC’s award-winning Disclosure and Transparency Toolkit “Beyond the Balance Sheet</w:t>
      </w:r>
      <w:r w:rsidR="00E37691" w:rsidRPr="00806618">
        <w:rPr>
          <w:rFonts w:asciiTheme="majorHAnsi" w:hAnsiTheme="majorHAnsi" w:cs="Arial"/>
          <w:color w:val="0F243E" w:themeColor="text2" w:themeShade="80"/>
          <w:szCs w:val="22"/>
          <w:lang w:val="en-GB"/>
        </w:rPr>
        <w:t>”</w:t>
      </w:r>
      <w:r w:rsidR="001A0537" w:rsidRPr="00806618">
        <w:rPr>
          <w:rFonts w:asciiTheme="majorHAnsi" w:hAnsiTheme="majorHAnsi" w:cs="Arial"/>
          <w:color w:val="0F243E" w:themeColor="text2" w:themeShade="80"/>
          <w:szCs w:val="22"/>
          <w:lang w:val="en-GB"/>
        </w:rPr>
        <w:t xml:space="preserve"> </w:t>
      </w:r>
      <w:r w:rsidRPr="00806618">
        <w:rPr>
          <w:rFonts w:asciiTheme="majorHAnsi" w:hAnsiTheme="majorHAnsi" w:cs="Arial"/>
          <w:color w:val="0F243E" w:themeColor="text2" w:themeShade="80"/>
          <w:szCs w:val="22"/>
          <w:lang w:val="en-GB"/>
        </w:rPr>
        <w:t xml:space="preserve">resources </w:t>
      </w:r>
      <w:r w:rsidR="00675158" w:rsidRPr="00806618">
        <w:rPr>
          <w:rFonts w:asciiTheme="majorHAnsi" w:hAnsiTheme="majorHAnsi" w:cstheme="minorHAnsi"/>
          <w:bCs/>
        </w:rPr>
        <w:t>for</w:t>
      </w:r>
      <w:r w:rsidR="00C82FEE" w:rsidRPr="00806618">
        <w:rPr>
          <w:rFonts w:asciiTheme="majorHAnsi" w:hAnsiTheme="majorHAnsi" w:cstheme="minorHAnsi"/>
          <w:bCs/>
        </w:rPr>
        <w:t xml:space="preserve"> consulting and other services</w:t>
      </w:r>
      <w:r w:rsidR="006B2824" w:rsidRPr="00806618">
        <w:rPr>
          <w:rFonts w:asciiTheme="majorHAnsi" w:hAnsiTheme="majorHAnsi" w:cstheme="minorHAnsi"/>
          <w:bCs/>
        </w:rPr>
        <w:t xml:space="preserve"> in the region</w:t>
      </w:r>
      <w:r w:rsidR="00C82FEE" w:rsidRPr="00806618">
        <w:rPr>
          <w:rFonts w:asciiTheme="majorHAnsi" w:hAnsiTheme="majorHAnsi" w:cstheme="minorHAnsi"/>
        </w:rPr>
        <w:t xml:space="preserve">. </w:t>
      </w:r>
    </w:p>
    <w:p w14:paraId="682939C0" w14:textId="77777777" w:rsidR="00136E1D" w:rsidRPr="00806618" w:rsidRDefault="0038550C" w:rsidP="00EC5A68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inorHAnsi"/>
          <w:b/>
        </w:rPr>
      </w:pPr>
      <w:r w:rsidRPr="00806618">
        <w:rPr>
          <w:rFonts w:asciiTheme="majorHAnsi" w:hAnsiTheme="majorHAnsi" w:cstheme="minorHAnsi"/>
          <w:b/>
        </w:rPr>
        <w:t>Who should attend?</w:t>
      </w:r>
      <w:r w:rsidR="001A0537" w:rsidRPr="00806618">
        <w:rPr>
          <w:rFonts w:asciiTheme="majorHAnsi" w:hAnsiTheme="majorHAnsi" w:cstheme="minorHAnsi"/>
          <w:b/>
        </w:rPr>
        <w:t xml:space="preserve">  </w:t>
      </w:r>
    </w:p>
    <w:p w14:paraId="10996B5F" w14:textId="77777777" w:rsidR="006B09EF" w:rsidRPr="00806618" w:rsidRDefault="0038550C" w:rsidP="00136E1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inorHAnsi"/>
          <w:b/>
        </w:rPr>
      </w:pPr>
      <w:r w:rsidRPr="00806618">
        <w:rPr>
          <w:rFonts w:asciiTheme="majorHAnsi" w:hAnsiTheme="majorHAnsi" w:cstheme="minorHAnsi"/>
        </w:rPr>
        <w:t>Participation will be limited to two persons per partner institution. It is expected that partner institutions will develop action plans on services</w:t>
      </w:r>
      <w:r w:rsidR="00D67BC7">
        <w:rPr>
          <w:rFonts w:asciiTheme="majorHAnsi" w:hAnsiTheme="majorHAnsi" w:cstheme="minorHAnsi"/>
        </w:rPr>
        <w:t xml:space="preserve"> and timelines</w:t>
      </w:r>
      <w:r w:rsidRPr="00806618">
        <w:rPr>
          <w:rFonts w:asciiTheme="majorHAnsi" w:hAnsiTheme="majorHAnsi" w:cstheme="minorHAnsi"/>
        </w:rPr>
        <w:t xml:space="preserve"> </w:t>
      </w:r>
      <w:r w:rsidR="00D67BC7">
        <w:rPr>
          <w:rFonts w:asciiTheme="majorHAnsi" w:hAnsiTheme="majorHAnsi" w:cstheme="minorHAnsi"/>
        </w:rPr>
        <w:t xml:space="preserve">that </w:t>
      </w:r>
      <w:r w:rsidR="000E0C00">
        <w:rPr>
          <w:rFonts w:asciiTheme="majorHAnsi" w:hAnsiTheme="majorHAnsi" w:cstheme="minorHAnsi"/>
        </w:rPr>
        <w:t>are doable</w:t>
      </w:r>
      <w:r w:rsidRPr="00806618">
        <w:rPr>
          <w:rFonts w:asciiTheme="majorHAnsi" w:hAnsiTheme="majorHAnsi" w:cstheme="minorHAnsi"/>
        </w:rPr>
        <w:t xml:space="preserve"> for each institution. </w:t>
      </w:r>
    </w:p>
    <w:p w14:paraId="68B8CF36" w14:textId="77777777" w:rsidR="0038550C" w:rsidRPr="00806618" w:rsidRDefault="00C76C50" w:rsidP="00EC5A68">
      <w:pPr>
        <w:spacing w:before="240" w:after="120"/>
        <w:rPr>
          <w:rFonts w:asciiTheme="majorHAnsi" w:hAnsiTheme="majorHAnsi"/>
          <w:b/>
        </w:rPr>
      </w:pPr>
      <w:r w:rsidRPr="00806618">
        <w:rPr>
          <w:rFonts w:asciiTheme="majorHAnsi" w:hAnsiTheme="majorHAnsi"/>
          <w:b/>
        </w:rPr>
        <w:t>Program d</w:t>
      </w:r>
      <w:r w:rsidR="006B09EF" w:rsidRPr="00806618">
        <w:rPr>
          <w:rFonts w:asciiTheme="majorHAnsi" w:hAnsiTheme="majorHAnsi"/>
          <w:b/>
        </w:rPr>
        <w:t>etails</w:t>
      </w:r>
      <w:r w:rsidR="00136E1D" w:rsidRPr="00806618">
        <w:rPr>
          <w:rFonts w:asciiTheme="majorHAnsi" w:hAnsiTheme="majorHAnsi"/>
          <w:b/>
        </w:rPr>
        <w:t>:</w:t>
      </w:r>
    </w:p>
    <w:p w14:paraId="14F23132" w14:textId="77777777" w:rsidR="009731D5" w:rsidRDefault="0038550C" w:rsidP="006B09EF">
      <w:pPr>
        <w:spacing w:before="120" w:after="120"/>
        <w:rPr>
          <w:rFonts w:asciiTheme="majorHAnsi" w:hAnsiTheme="majorHAnsi" w:cstheme="minorHAnsi"/>
          <w:bCs/>
        </w:rPr>
      </w:pPr>
      <w:r w:rsidRPr="00806618">
        <w:rPr>
          <w:rFonts w:asciiTheme="majorHAnsi" w:hAnsiTheme="majorHAnsi" w:cstheme="minorHAnsi"/>
          <w:bCs/>
        </w:rPr>
        <w:t xml:space="preserve">The D&amp;T webinar training series will consist of </w:t>
      </w:r>
      <w:r w:rsidRPr="00806618">
        <w:rPr>
          <w:rFonts w:asciiTheme="majorHAnsi" w:hAnsiTheme="majorHAnsi" w:cstheme="minorHAnsi"/>
          <w:b/>
          <w:bCs/>
        </w:rPr>
        <w:t>three sessions of three hours each,</w:t>
      </w:r>
      <w:r w:rsidRPr="00806618">
        <w:rPr>
          <w:rFonts w:asciiTheme="majorHAnsi" w:hAnsiTheme="majorHAnsi" w:cstheme="minorHAnsi"/>
          <w:bCs/>
        </w:rPr>
        <w:t xml:space="preserve"> with </w:t>
      </w:r>
      <w:r w:rsidR="00F34E14">
        <w:rPr>
          <w:rFonts w:asciiTheme="majorHAnsi" w:hAnsiTheme="majorHAnsi" w:cstheme="minorHAnsi"/>
          <w:bCs/>
        </w:rPr>
        <w:t>peer-to-peer learning</w:t>
      </w:r>
      <w:r w:rsidR="001602A6" w:rsidRPr="00806618">
        <w:rPr>
          <w:rFonts w:asciiTheme="majorHAnsi" w:hAnsiTheme="majorHAnsi" w:cstheme="minorHAnsi"/>
          <w:bCs/>
        </w:rPr>
        <w:t xml:space="preserve"> </w:t>
      </w:r>
      <w:r w:rsidR="00F34E14">
        <w:rPr>
          <w:rFonts w:asciiTheme="majorHAnsi" w:hAnsiTheme="majorHAnsi" w:cstheme="minorHAnsi"/>
          <w:bCs/>
        </w:rPr>
        <w:t>exercises and</w:t>
      </w:r>
      <w:r w:rsidR="006B2824" w:rsidRPr="00806618">
        <w:rPr>
          <w:rFonts w:asciiTheme="majorHAnsi" w:hAnsiTheme="majorHAnsi" w:cstheme="minorHAnsi"/>
          <w:bCs/>
        </w:rPr>
        <w:t xml:space="preserve"> </w:t>
      </w:r>
      <w:r w:rsidR="00F34E14">
        <w:rPr>
          <w:rFonts w:asciiTheme="majorHAnsi" w:hAnsiTheme="majorHAnsi" w:cstheme="minorHAnsi"/>
          <w:bCs/>
        </w:rPr>
        <w:t xml:space="preserve">access </w:t>
      </w:r>
      <w:r w:rsidR="00385AFA">
        <w:rPr>
          <w:rFonts w:asciiTheme="majorHAnsi" w:hAnsiTheme="majorHAnsi" w:cstheme="minorHAnsi"/>
          <w:bCs/>
        </w:rPr>
        <w:t xml:space="preserve">to one-hour “Ask the Experts” </w:t>
      </w:r>
      <w:r w:rsidR="001602A6" w:rsidRPr="00806618">
        <w:rPr>
          <w:rFonts w:asciiTheme="majorHAnsi" w:hAnsiTheme="majorHAnsi" w:cstheme="minorHAnsi"/>
          <w:bCs/>
        </w:rPr>
        <w:t xml:space="preserve">consultation </w:t>
      </w:r>
      <w:r w:rsidR="00F34E14">
        <w:rPr>
          <w:rFonts w:asciiTheme="majorHAnsi" w:hAnsiTheme="majorHAnsi" w:cstheme="minorHAnsi"/>
          <w:bCs/>
        </w:rPr>
        <w:t>sessions</w:t>
      </w:r>
      <w:r w:rsidR="001602A6" w:rsidRPr="00806618">
        <w:rPr>
          <w:rFonts w:asciiTheme="majorHAnsi" w:hAnsiTheme="majorHAnsi" w:cstheme="minorHAnsi"/>
          <w:bCs/>
        </w:rPr>
        <w:t xml:space="preserve"> </w:t>
      </w:r>
      <w:r w:rsidR="00F34E14" w:rsidRPr="00806618">
        <w:rPr>
          <w:rFonts w:asciiTheme="majorHAnsi" w:hAnsiTheme="majorHAnsi" w:cstheme="minorHAnsi"/>
          <w:bCs/>
        </w:rPr>
        <w:t xml:space="preserve">between </w:t>
      </w:r>
      <w:r w:rsidR="00F34E14">
        <w:rPr>
          <w:rFonts w:asciiTheme="majorHAnsi" w:hAnsiTheme="majorHAnsi" w:cstheme="minorHAnsi"/>
          <w:bCs/>
        </w:rPr>
        <w:t>the weekly sessions</w:t>
      </w:r>
      <w:r w:rsidR="001602A6" w:rsidRPr="00806618">
        <w:rPr>
          <w:rFonts w:asciiTheme="majorHAnsi" w:hAnsiTheme="majorHAnsi" w:cstheme="minorHAnsi"/>
          <w:bCs/>
        </w:rPr>
        <w:t>.</w:t>
      </w:r>
      <w:r w:rsidR="006B2824" w:rsidRPr="00806618">
        <w:rPr>
          <w:rFonts w:asciiTheme="majorHAnsi" w:hAnsiTheme="majorHAnsi" w:cstheme="minorHAnsi"/>
          <w:bCs/>
        </w:rPr>
        <w:t xml:space="preserve"> </w:t>
      </w:r>
    </w:p>
    <w:p w14:paraId="2A561831" w14:textId="77777777" w:rsidR="009731D5" w:rsidRPr="00806618" w:rsidRDefault="009731D5" w:rsidP="009731D5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Objectives and </w:t>
      </w:r>
      <w:r w:rsidR="000E0C00">
        <w:rPr>
          <w:rFonts w:asciiTheme="majorHAnsi" w:hAnsiTheme="majorHAnsi"/>
          <w:b/>
        </w:rPr>
        <w:t xml:space="preserve">Agenda </w:t>
      </w:r>
      <w:r>
        <w:rPr>
          <w:rFonts w:asciiTheme="majorHAnsi" w:hAnsiTheme="majorHAnsi"/>
          <w:b/>
        </w:rPr>
        <w:t>schedules</w:t>
      </w:r>
      <w:r w:rsidRPr="00806618">
        <w:rPr>
          <w:rFonts w:asciiTheme="majorHAnsi" w:hAnsiTheme="majorHAnsi"/>
          <w:b/>
        </w:rPr>
        <w:t xml:space="preserve"> for </w:t>
      </w:r>
      <w:r>
        <w:rPr>
          <w:rFonts w:asciiTheme="majorHAnsi" w:hAnsiTheme="majorHAnsi"/>
          <w:b/>
        </w:rPr>
        <w:t xml:space="preserve">the </w:t>
      </w:r>
      <w:r w:rsidRPr="00806618">
        <w:rPr>
          <w:rFonts w:asciiTheme="majorHAnsi" w:hAnsiTheme="majorHAnsi"/>
          <w:b/>
        </w:rPr>
        <w:t>three D&amp;T webinar sessions are summarized below</w:t>
      </w:r>
      <w:r>
        <w:rPr>
          <w:rFonts w:asciiTheme="majorHAnsi" w:hAnsiTheme="majorHAnsi"/>
          <w:b/>
        </w:rPr>
        <w:t>, followed by IFC Team Bios</w:t>
      </w:r>
      <w:r w:rsidRPr="00806618">
        <w:rPr>
          <w:rFonts w:asciiTheme="majorHAnsi" w:hAnsiTheme="majorHAnsi"/>
          <w:b/>
        </w:rPr>
        <w:t xml:space="preserve">. </w:t>
      </w:r>
    </w:p>
    <w:p w14:paraId="43EADF26" w14:textId="77777777" w:rsidR="00600D5C" w:rsidRDefault="00600D5C" w:rsidP="009731D5">
      <w:pPr>
        <w:spacing w:before="240" w:after="120"/>
        <w:rPr>
          <w:rFonts w:asciiTheme="majorHAnsi" w:hAnsiTheme="majorHAnsi" w:cs="Arial"/>
          <w:b/>
          <w:szCs w:val="22"/>
          <w:lang w:val="en-GB"/>
        </w:rPr>
      </w:pPr>
    </w:p>
    <w:p w14:paraId="247F9C5C" w14:textId="77777777" w:rsidR="00602DA9" w:rsidRDefault="00602DA9" w:rsidP="009731D5">
      <w:pPr>
        <w:spacing w:before="240" w:after="120"/>
        <w:rPr>
          <w:rFonts w:asciiTheme="majorHAnsi" w:hAnsiTheme="majorHAnsi" w:cs="Arial"/>
          <w:b/>
          <w:szCs w:val="22"/>
          <w:lang w:val="en-GB"/>
        </w:rPr>
      </w:pPr>
    </w:p>
    <w:p w14:paraId="4E9E29F2" w14:textId="77777777" w:rsidR="009731D5" w:rsidRPr="004704A6" w:rsidRDefault="00CA06B4" w:rsidP="00642F13">
      <w:pPr>
        <w:spacing w:before="240" w:after="120"/>
        <w:ind w:left="-450"/>
        <w:rPr>
          <w:rFonts w:asciiTheme="majorHAnsi" w:hAnsiTheme="majorHAnsi" w:cs="Arial"/>
          <w:b/>
          <w:color w:val="984806" w:themeColor="accent6" w:themeShade="80"/>
          <w:sz w:val="22"/>
          <w:szCs w:val="22"/>
          <w:lang w:val="en-GB"/>
        </w:rPr>
      </w:pPr>
      <w:r>
        <w:rPr>
          <w:rFonts w:asciiTheme="majorHAnsi" w:hAnsiTheme="majorHAnsi" w:cs="Arial"/>
          <w:b/>
          <w:sz w:val="22"/>
          <w:szCs w:val="22"/>
          <w:lang w:val="en-GB"/>
        </w:rPr>
        <w:lastRenderedPageBreak/>
        <w:t>Objectives of the D&amp;T Webinar S</w:t>
      </w:r>
      <w:r w:rsidR="009731D5" w:rsidRPr="004704A6">
        <w:rPr>
          <w:rFonts w:asciiTheme="majorHAnsi" w:hAnsiTheme="majorHAnsi" w:cs="Arial"/>
          <w:b/>
          <w:sz w:val="22"/>
          <w:szCs w:val="22"/>
          <w:lang w:val="en-GB"/>
        </w:rPr>
        <w:t xml:space="preserve">eries:  </w:t>
      </w:r>
    </w:p>
    <w:p w14:paraId="24BC0F6B" w14:textId="77777777" w:rsidR="009731D5" w:rsidRPr="004704A6" w:rsidRDefault="009731D5" w:rsidP="00642F13">
      <w:pPr>
        <w:numPr>
          <w:ilvl w:val="0"/>
          <w:numId w:val="40"/>
        </w:numPr>
        <w:spacing w:before="60" w:after="120"/>
        <w:ind w:left="0"/>
        <w:rPr>
          <w:rFonts w:asciiTheme="majorHAnsi" w:hAnsiTheme="majorHAnsi"/>
          <w:sz w:val="22"/>
          <w:szCs w:val="22"/>
        </w:rPr>
      </w:pPr>
      <w:r w:rsidRPr="004704A6">
        <w:rPr>
          <w:rFonts w:asciiTheme="majorHAnsi" w:hAnsiTheme="majorHAnsi"/>
          <w:sz w:val="22"/>
          <w:szCs w:val="22"/>
        </w:rPr>
        <w:t xml:space="preserve">Improve D&amp;T knowledge and deepen understandings of the strategic value and demand for transparent </w:t>
      </w:r>
      <w:r w:rsidRPr="004704A6">
        <w:rPr>
          <w:rFonts w:asciiTheme="majorHAnsi" w:hAnsiTheme="majorHAnsi" w:cs="Arial"/>
          <w:sz w:val="22"/>
          <w:szCs w:val="22"/>
        </w:rPr>
        <w:t>corporate disclosure and reporting practices;</w:t>
      </w:r>
    </w:p>
    <w:p w14:paraId="5DA841ED" w14:textId="77777777" w:rsidR="009731D5" w:rsidRPr="004704A6" w:rsidRDefault="009731D5" w:rsidP="00642F13">
      <w:pPr>
        <w:numPr>
          <w:ilvl w:val="0"/>
          <w:numId w:val="40"/>
        </w:numPr>
        <w:spacing w:before="60" w:after="120"/>
        <w:ind w:left="0"/>
        <w:rPr>
          <w:rFonts w:asciiTheme="majorHAnsi" w:hAnsiTheme="majorHAnsi"/>
          <w:sz w:val="22"/>
          <w:szCs w:val="22"/>
        </w:rPr>
      </w:pPr>
      <w:r w:rsidRPr="004704A6">
        <w:rPr>
          <w:rFonts w:asciiTheme="majorHAnsi" w:hAnsiTheme="majorHAnsi"/>
          <w:sz w:val="22"/>
          <w:szCs w:val="22"/>
        </w:rPr>
        <w:t>Develop the capacities to adapt D&amp;T resources and plan training programs, consulting and other services that advance integrated ESG reporting; and</w:t>
      </w:r>
    </w:p>
    <w:p w14:paraId="1AF61AEF" w14:textId="77777777" w:rsidR="00642F13" w:rsidRPr="004704A6" w:rsidRDefault="009731D5" w:rsidP="00212AF4">
      <w:pPr>
        <w:numPr>
          <w:ilvl w:val="0"/>
          <w:numId w:val="40"/>
        </w:numPr>
        <w:spacing w:before="60" w:after="120"/>
        <w:ind w:left="0"/>
        <w:rPr>
          <w:rFonts w:asciiTheme="majorHAnsi" w:hAnsiTheme="majorHAnsi"/>
          <w:sz w:val="22"/>
          <w:szCs w:val="22"/>
        </w:rPr>
      </w:pPr>
      <w:r w:rsidRPr="004704A6">
        <w:rPr>
          <w:rFonts w:asciiTheme="majorHAnsi" w:hAnsiTheme="majorHAnsi"/>
          <w:sz w:val="22"/>
          <w:szCs w:val="22"/>
        </w:rPr>
        <w:t>Share and further develop D&amp;T learning resources to support regional capacity building networks and partnerships.</w:t>
      </w:r>
    </w:p>
    <w:p w14:paraId="6E7403A2" w14:textId="77777777" w:rsidR="006B09EF" w:rsidRPr="004704A6" w:rsidRDefault="00212AF4" w:rsidP="00212AF4">
      <w:pPr>
        <w:spacing w:before="240" w:after="120"/>
        <w:ind w:left="-450"/>
        <w:rPr>
          <w:rFonts w:asciiTheme="majorHAnsi" w:hAnsiTheme="majorHAnsi"/>
          <w:b/>
          <w:sz w:val="22"/>
          <w:szCs w:val="22"/>
        </w:rPr>
      </w:pPr>
      <w:r w:rsidRPr="004704A6">
        <w:rPr>
          <w:rFonts w:asciiTheme="majorHAnsi" w:hAnsiTheme="majorHAnsi"/>
          <w:b/>
          <w:sz w:val="22"/>
          <w:szCs w:val="22"/>
        </w:rPr>
        <w:t xml:space="preserve">AGENDA </w:t>
      </w:r>
      <w:r w:rsidR="00642F13" w:rsidRPr="004704A6">
        <w:rPr>
          <w:rFonts w:asciiTheme="majorHAnsi" w:hAnsiTheme="majorHAnsi"/>
          <w:b/>
          <w:sz w:val="22"/>
          <w:szCs w:val="22"/>
        </w:rPr>
        <w:t>for</w:t>
      </w:r>
      <w:r w:rsidR="00575ECC">
        <w:rPr>
          <w:rFonts w:asciiTheme="majorHAnsi" w:hAnsiTheme="majorHAnsi"/>
          <w:b/>
          <w:sz w:val="22"/>
          <w:szCs w:val="22"/>
        </w:rPr>
        <w:t xml:space="preserve"> </w:t>
      </w:r>
      <w:r w:rsidR="00642F13" w:rsidRPr="004704A6">
        <w:rPr>
          <w:rFonts w:asciiTheme="majorHAnsi" w:hAnsiTheme="majorHAnsi"/>
          <w:b/>
          <w:sz w:val="22"/>
          <w:szCs w:val="22"/>
        </w:rPr>
        <w:t>D&amp;T Webinar Sessions</w:t>
      </w:r>
      <w:r w:rsidR="00575ECC">
        <w:rPr>
          <w:rFonts w:asciiTheme="majorHAnsi" w:hAnsiTheme="majorHAnsi"/>
          <w:b/>
          <w:sz w:val="22"/>
          <w:szCs w:val="22"/>
        </w:rPr>
        <w:t xml:space="preserve"> (3)</w:t>
      </w:r>
    </w:p>
    <w:tbl>
      <w:tblPr>
        <w:tblW w:w="10543" w:type="dxa"/>
        <w:jc w:val="center"/>
        <w:tblCellSpacing w:w="72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2"/>
        <w:gridCol w:w="7791"/>
      </w:tblGrid>
      <w:tr w:rsidR="006B09EF" w:rsidRPr="004704A6" w14:paraId="1D2068DF" w14:textId="77777777">
        <w:trPr>
          <w:trHeight w:val="216"/>
          <w:tblCellSpacing w:w="72" w:type="dxa"/>
          <w:jc w:val="center"/>
        </w:trPr>
        <w:tc>
          <w:tcPr>
            <w:tcW w:w="10255" w:type="dxa"/>
            <w:gridSpan w:val="2"/>
            <w:shd w:val="clear" w:color="auto" w:fill="002060"/>
          </w:tcPr>
          <w:p w14:paraId="73BC629F" w14:textId="77777777" w:rsidR="006B09EF" w:rsidRPr="004704A6" w:rsidRDefault="006B09EF" w:rsidP="00AC4754">
            <w:pPr>
              <w:spacing w:before="40" w:after="80"/>
              <w:jc w:val="center"/>
              <w:rPr>
                <w:rFonts w:asciiTheme="majorHAnsi" w:hAnsiTheme="majorHAnsi"/>
                <w:b/>
                <w:color w:val="FFFFFF"/>
                <w:sz w:val="22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br w:type="page"/>
            </w:r>
            <w:r w:rsidR="00AC4754" w:rsidRPr="004704A6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Wednesday</w:t>
            </w:r>
            <w:r w:rsidRPr="004704A6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 xml:space="preserve">– </w:t>
            </w:r>
            <w:r w:rsidR="00AC4754" w:rsidRPr="004704A6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June 9</w:t>
            </w:r>
            <w:r w:rsidRPr="004704A6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, 202</w:t>
            </w:r>
            <w:r w:rsidR="00AC4754" w:rsidRPr="004704A6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1</w:t>
            </w:r>
          </w:p>
        </w:tc>
      </w:tr>
      <w:tr w:rsidR="006B09EF" w:rsidRPr="004704A6" w14:paraId="61B779D4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7F63F745" w14:textId="77777777" w:rsidR="00863B7F" w:rsidRPr="004704A6" w:rsidRDefault="00863B7F" w:rsidP="00F00941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  <w:p w14:paraId="3911FE1D" w14:textId="77777777" w:rsidR="00F00941" w:rsidRPr="004704A6" w:rsidRDefault="00863B7F" w:rsidP="00F00941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="006170C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1E0560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590B4A" w:rsidRPr="004704A6">
              <w:rPr>
                <w:rFonts w:asciiTheme="majorHAnsi" w:hAnsiTheme="majorHAnsi"/>
                <w:b/>
                <w:sz w:val="22"/>
              </w:rPr>
              <w:t>0 –</w:t>
            </w:r>
            <w:r w:rsidR="003E7952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590B4A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="00590B4A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061142" w:rsidRPr="004704A6">
              <w:rPr>
                <w:rFonts w:asciiTheme="majorHAnsi" w:hAnsiTheme="majorHAnsi"/>
                <w:b/>
                <w:sz w:val="22"/>
              </w:rPr>
              <w:t>3</w:t>
            </w:r>
            <w:r w:rsidR="00590B4A" w:rsidRPr="004704A6">
              <w:rPr>
                <w:rFonts w:asciiTheme="majorHAnsi" w:hAnsiTheme="majorHAnsi"/>
                <w:b/>
                <w:sz w:val="22"/>
              </w:rPr>
              <w:t>0</w:t>
            </w:r>
          </w:p>
          <w:p w14:paraId="024E75AE" w14:textId="77777777" w:rsidR="006B09EF" w:rsidRPr="004704A6" w:rsidRDefault="006B09EF" w:rsidP="00F00941">
            <w:pPr>
              <w:spacing w:before="120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7575" w:type="dxa"/>
            <w:shd w:val="clear" w:color="auto" w:fill="DBE5F1" w:themeFill="accent1" w:themeFillTint="33"/>
          </w:tcPr>
          <w:p w14:paraId="17055135" w14:textId="77777777" w:rsidR="006B09EF" w:rsidRPr="004704A6" w:rsidRDefault="00863B7F" w:rsidP="006B09EF">
            <w:pPr>
              <w:spacing w:before="60"/>
              <w:rPr>
                <w:rFonts w:asciiTheme="majorHAnsi" w:hAnsiTheme="majorHAnsi"/>
                <w:bCs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 xml:space="preserve">Welcome, </w:t>
            </w:r>
            <w:r w:rsidR="006B09EF"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Orientation </w:t>
            </w:r>
            <w:r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>and Expectations</w:t>
            </w:r>
            <w:r w:rsidR="008A5D3A"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14:paraId="42090C30" w14:textId="77777777" w:rsidR="00AA64BA" w:rsidRPr="00AA64BA" w:rsidRDefault="001153CD" w:rsidP="00721E3D">
            <w:pPr>
              <w:numPr>
                <w:ilvl w:val="0"/>
                <w:numId w:val="35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174E3D">
              <w:rPr>
                <w:rFonts w:asciiTheme="majorHAnsi" w:hAnsiTheme="majorHAnsi" w:cs="Arial"/>
                <w:b/>
                <w:sz w:val="22"/>
                <w:szCs w:val="22"/>
              </w:rPr>
              <w:t>Caroline H. Bright</w:t>
            </w:r>
            <w:r w:rsidR="00721E3D" w:rsidRPr="00174E3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174E3D" w:rsidRPr="00174E3D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74E3D" w:rsidRPr="00174E3D">
              <w:rPr>
                <w:rFonts w:asciiTheme="majorHAnsi" w:hAnsiTheme="majorHAnsi"/>
                <w:sz w:val="22"/>
                <w:szCs w:val="22"/>
              </w:rPr>
              <w:t>Regional</w:t>
            </w:r>
            <w:r w:rsidR="00174E3D" w:rsidRPr="00DC4145">
              <w:rPr>
                <w:rFonts w:asciiTheme="majorHAnsi" w:hAnsiTheme="majorHAnsi"/>
                <w:sz w:val="22"/>
                <w:szCs w:val="22"/>
              </w:rPr>
              <w:t xml:space="preserve"> ESG Advisory Lead for Easter Europe, Central Asia and Latin America</w:t>
            </w:r>
            <w:r w:rsidR="00721E3D" w:rsidRPr="46DADF6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025652D" w14:textId="77777777" w:rsidR="0041251D" w:rsidRDefault="001153CD">
            <w:pPr>
              <w:numPr>
                <w:ilvl w:val="0"/>
                <w:numId w:val="35"/>
              </w:num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1153CD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Ralitza Germanova</w:t>
            </w:r>
            <w:r w:rsidR="006B09EF" w:rsidRPr="00AA64BA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r w:rsidR="003170B8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>Disclosure and Transparency Program Lead</w:t>
            </w:r>
            <w:r w:rsidR="00863B7F" w:rsidRPr="00AA64BA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 xml:space="preserve">, IFC </w:t>
            </w:r>
          </w:p>
          <w:p w14:paraId="65A76415" w14:textId="77777777" w:rsidR="0041251D" w:rsidRDefault="001153CD">
            <w:pPr>
              <w:numPr>
                <w:ilvl w:val="0"/>
                <w:numId w:val="35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1153CD">
              <w:rPr>
                <w:rFonts w:asciiTheme="majorHAnsi" w:hAnsiTheme="majorHAnsi" w:cs="Arial"/>
                <w:b/>
                <w:sz w:val="22"/>
                <w:szCs w:val="22"/>
              </w:rPr>
              <w:t>Ma</w:t>
            </w:r>
            <w:r w:rsidRPr="001153CD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ry Jo Larson</w:t>
            </w:r>
            <w:r w:rsidR="002F1215" w:rsidRPr="00AA64BA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r w:rsidR="00510B02" w:rsidRPr="00AA64BA">
              <w:rPr>
                <w:rFonts w:asciiTheme="majorHAnsi" w:hAnsiTheme="majorHAnsi"/>
                <w:bCs/>
                <w:sz w:val="22"/>
                <w:szCs w:val="22"/>
              </w:rPr>
              <w:t>Senior</w:t>
            </w:r>
            <w:r w:rsidRPr="001153CD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Consultant, IFC </w:t>
            </w:r>
          </w:p>
        </w:tc>
      </w:tr>
      <w:tr w:rsidR="006B09EF" w:rsidRPr="004704A6" w14:paraId="5A992B53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56C9B20D" w14:textId="77777777" w:rsidR="00F00941" w:rsidRPr="004704A6" w:rsidRDefault="00F00941" w:rsidP="00F00941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  <w:p w14:paraId="12C0761D" w14:textId="77777777" w:rsidR="006B09EF" w:rsidRPr="004704A6" w:rsidRDefault="00590B4A" w:rsidP="00E3180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061142" w:rsidRPr="004704A6">
              <w:rPr>
                <w:rFonts w:asciiTheme="majorHAnsi" w:hAnsiTheme="majorHAnsi"/>
                <w:b/>
                <w:sz w:val="22"/>
              </w:rPr>
              <w:t>3</w:t>
            </w:r>
            <w:r w:rsidR="003A5728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E31803" w:rsidRPr="004704A6">
              <w:rPr>
                <w:rFonts w:asciiTheme="majorHAnsi" w:hAnsiTheme="majorHAnsi"/>
                <w:b/>
                <w:sz w:val="22"/>
              </w:rPr>
              <w:t xml:space="preserve"> - </w:t>
            </w:r>
            <w:r w:rsidR="00863B7F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FD1FEA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061142" w:rsidRPr="004704A6">
              <w:rPr>
                <w:rFonts w:asciiTheme="majorHAnsi" w:hAnsiTheme="majorHAnsi"/>
                <w:b/>
                <w:sz w:val="22"/>
              </w:rPr>
              <w:t>1</w:t>
            </w: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7C8004C2" w14:textId="77777777" w:rsidR="00691796" w:rsidRPr="004704A6" w:rsidRDefault="00691796" w:rsidP="00691796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>MOTIVATION</w:t>
            </w:r>
            <w:r w:rsidR="003E795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DISCUSSION PANEL</w:t>
            </w:r>
          </w:p>
          <w:p w14:paraId="56437897" w14:textId="77777777" w:rsidR="00691796" w:rsidRPr="004704A6" w:rsidRDefault="00691796" w:rsidP="00597094">
            <w:pPr>
              <w:pStyle w:val="Default"/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How Companies Attract Capital and Build Resilient Enterprises </w:t>
            </w:r>
          </w:p>
          <w:p w14:paraId="75762B45" w14:textId="77777777" w:rsidR="003A5728" w:rsidRPr="004704A6" w:rsidRDefault="00691796" w:rsidP="00691796">
            <w:pPr>
              <w:spacing w:before="20"/>
              <w:rPr>
                <w:rFonts w:asciiTheme="majorHAnsi" w:hAnsiTheme="majorHAnsi"/>
                <w:bCs/>
                <w:i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Panel Discussion: </w:t>
            </w:r>
            <w:r w:rsidR="00183448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How do </w:t>
            </w:r>
            <w:r w:rsidR="00D85A50" w:rsidRPr="004704A6">
              <w:rPr>
                <w:rFonts w:asciiTheme="majorHAnsi" w:hAnsiTheme="majorHAnsi"/>
                <w:bCs/>
                <w:sz w:val="22"/>
                <w:szCs w:val="22"/>
              </w:rPr>
              <w:t>organizations</w:t>
            </w:r>
            <w:r w:rsidR="00183448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642F13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pursue opportunities, </w:t>
            </w:r>
            <w:r w:rsidR="00183448" w:rsidRPr="004704A6">
              <w:rPr>
                <w:rFonts w:asciiTheme="majorHAnsi" w:hAnsiTheme="majorHAnsi"/>
                <w:bCs/>
                <w:sz w:val="22"/>
                <w:szCs w:val="22"/>
              </w:rPr>
              <w:t>manage risks</w:t>
            </w:r>
            <w:r w:rsidR="00642F13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 and report on </w:t>
            </w:r>
            <w:r w:rsidR="00642F13" w:rsidRPr="004704A6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strategic ESG </w:t>
            </w:r>
            <w:r w:rsidR="00642F13" w:rsidRPr="004704A6">
              <w:rPr>
                <w:rFonts w:asciiTheme="majorHAnsi" w:hAnsiTheme="majorHAnsi"/>
                <w:bCs/>
                <w:sz w:val="22"/>
                <w:szCs w:val="22"/>
              </w:rPr>
              <w:t>performance</w:t>
            </w:r>
            <w:r w:rsidR="00183448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 to meet </w:t>
            </w:r>
            <w:r w:rsidR="00183448" w:rsidRPr="004704A6">
              <w:rPr>
                <w:rFonts w:asciiTheme="majorHAnsi" w:hAnsiTheme="majorHAnsi" w:cs="Arial"/>
                <w:sz w:val="22"/>
                <w:szCs w:val="22"/>
                <w:lang w:val="en-GB"/>
              </w:rPr>
              <w:t xml:space="preserve">international and EU sustainability and disclosure requirements?  </w:t>
            </w:r>
          </w:p>
          <w:p w14:paraId="5166DDEB" w14:textId="77777777" w:rsidR="00691796" w:rsidRPr="003F0C8E" w:rsidRDefault="00691796" w:rsidP="00597094">
            <w:pPr>
              <w:spacing w:before="6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Moderator</w:t>
            </w:r>
            <w:r w:rsidRPr="004704A6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: </w:t>
            </w:r>
            <w:r w:rsidR="00AA64BA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Vladimir Hrle</w:t>
            </w:r>
            <w:r w:rsidR="003170B8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754926" w:rsidRPr="00006EB4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ECA ESG </w:t>
            </w:r>
            <w:r w:rsidR="00006EB4" w:rsidRPr="003F0C8E">
              <w:rPr>
                <w:rFonts w:asciiTheme="majorHAnsi" w:hAnsiTheme="majorHAnsi"/>
                <w:sz w:val="22"/>
                <w:szCs w:val="22"/>
                <w:lang w:val="en-GB"/>
              </w:rPr>
              <w:t>Program</w:t>
            </w:r>
            <w:r w:rsidR="003170B8" w:rsidRPr="003F0C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  <w:p w14:paraId="725C50EB" w14:textId="77777777" w:rsidR="006B09EF" w:rsidRPr="004704A6" w:rsidRDefault="00691796" w:rsidP="00385AFA">
            <w:pPr>
              <w:spacing w:before="60"/>
              <w:rPr>
                <w:rFonts w:asciiTheme="majorHAnsi" w:hAnsiTheme="majorHAnsi"/>
                <w:b/>
                <w:sz w:val="22"/>
                <w:szCs w:val="22"/>
              </w:rPr>
            </w:pPr>
            <w:r w:rsidRPr="00FA4AA5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Panel members: </w:t>
            </w:r>
            <w:r w:rsidRPr="00FA4AA5">
              <w:rPr>
                <w:rFonts w:asciiTheme="majorHAnsi" w:hAnsiTheme="majorHAnsi"/>
                <w:b/>
                <w:sz w:val="22"/>
                <w:szCs w:val="22"/>
              </w:rPr>
              <w:t>Ann</w:t>
            </w:r>
            <w:r w:rsidR="009600EB" w:rsidRPr="00FA4AA5">
              <w:rPr>
                <w:rFonts w:asciiTheme="majorHAnsi" w:hAnsiTheme="majorHAnsi"/>
                <w:b/>
                <w:sz w:val="22"/>
                <w:szCs w:val="22"/>
              </w:rPr>
              <w:t xml:space="preserve">e Molyneux, </w:t>
            </w:r>
            <w:r w:rsidR="00183448" w:rsidRPr="00FA4AA5">
              <w:rPr>
                <w:rFonts w:asciiTheme="majorHAnsi" w:hAnsiTheme="majorHAnsi"/>
                <w:b/>
                <w:sz w:val="22"/>
                <w:szCs w:val="22"/>
              </w:rPr>
              <w:t>Bistra Boeva</w:t>
            </w:r>
            <w:r w:rsidR="00AA64BA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 w:rsidR="00E83660">
              <w:rPr>
                <w:rFonts w:asciiTheme="majorHAnsi" w:hAnsiTheme="majorHAnsi"/>
                <w:b/>
                <w:sz w:val="22"/>
                <w:szCs w:val="22"/>
              </w:rPr>
              <w:t>Ral</w:t>
            </w:r>
            <w:r w:rsidR="00BC67A5">
              <w:rPr>
                <w:rFonts w:asciiTheme="majorHAnsi" w:hAnsiTheme="majorHAnsi"/>
                <w:b/>
                <w:sz w:val="22"/>
                <w:szCs w:val="22"/>
              </w:rPr>
              <w:t>itza Germanova</w:t>
            </w:r>
            <w:r w:rsidR="002E201A" w:rsidRPr="00385AF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B09EF" w:rsidRPr="004704A6" w14:paraId="149E3E33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411FF4FB" w14:textId="77777777" w:rsidR="00F00941" w:rsidRPr="004704A6" w:rsidRDefault="00F00941" w:rsidP="00F00941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  <w:p w14:paraId="02061542" w14:textId="77777777" w:rsidR="006B09EF" w:rsidRPr="004704A6" w:rsidRDefault="00590B4A" w:rsidP="00E3180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061142" w:rsidRPr="004704A6">
              <w:rPr>
                <w:rFonts w:asciiTheme="majorHAnsi" w:hAnsiTheme="majorHAnsi"/>
                <w:b/>
                <w:sz w:val="22"/>
              </w:rPr>
              <w:t>1</w:t>
            </w: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E31803" w:rsidRPr="004704A6">
              <w:rPr>
                <w:rFonts w:asciiTheme="majorHAnsi" w:hAnsiTheme="majorHAnsi"/>
                <w:b/>
                <w:sz w:val="22"/>
              </w:rPr>
              <w:t xml:space="preserve"> - </w:t>
            </w:r>
            <w:r w:rsidR="008F26F3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FD1FEA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F26F3" w:rsidRPr="004704A6">
              <w:rPr>
                <w:rFonts w:asciiTheme="majorHAnsi" w:hAnsiTheme="majorHAnsi"/>
                <w:b/>
                <w:sz w:val="22"/>
              </w:rPr>
              <w:t>30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3E6A30CF" w14:textId="77777777" w:rsidR="00691796" w:rsidRPr="004704A6" w:rsidRDefault="00691796" w:rsidP="00691796">
            <w:pPr>
              <w:pStyle w:val="Default"/>
              <w:spacing w:before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EXPERIENTIAL ADULT LEARNING </w:t>
            </w:r>
          </w:p>
          <w:p w14:paraId="0ADF5902" w14:textId="77777777" w:rsidR="00691796" w:rsidRPr="004704A6" w:rsidRDefault="00691796" w:rsidP="00691796">
            <w:pPr>
              <w:spacing w:before="60"/>
              <w:rPr>
                <w:rFonts w:asciiTheme="majorHAnsi" w:hAnsiTheme="majorHAnsi" w:cs="Arial"/>
                <w:i/>
                <w:sz w:val="22"/>
              </w:rPr>
            </w:pPr>
            <w:r w:rsidRPr="004704A6">
              <w:rPr>
                <w:rFonts w:asciiTheme="majorHAnsi" w:hAnsiTheme="majorHAnsi" w:cs="Arial"/>
                <w:b/>
                <w:sz w:val="22"/>
              </w:rPr>
              <w:t xml:space="preserve">How to engage adult learners?  </w:t>
            </w:r>
            <w:r w:rsidRPr="004704A6">
              <w:rPr>
                <w:rFonts w:asciiTheme="majorHAnsi" w:hAnsiTheme="majorHAnsi" w:cs="Arial"/>
                <w:sz w:val="22"/>
              </w:rPr>
              <w:t>What</w:t>
            </w:r>
            <w:r w:rsidR="00E91FD3" w:rsidRPr="004704A6">
              <w:rPr>
                <w:rFonts w:asciiTheme="majorHAnsi" w:hAnsiTheme="majorHAnsi" w:cs="Arial"/>
                <w:sz w:val="22"/>
              </w:rPr>
              <w:t xml:space="preserve"> </w:t>
            </w:r>
            <w:r w:rsidRPr="004704A6">
              <w:rPr>
                <w:rFonts w:asciiTheme="majorHAnsi" w:hAnsiTheme="majorHAnsi" w:cs="Arial"/>
                <w:sz w:val="22"/>
              </w:rPr>
              <w:t>a</w:t>
            </w:r>
            <w:r w:rsidR="00642F13" w:rsidRPr="004704A6">
              <w:rPr>
                <w:rFonts w:asciiTheme="majorHAnsi" w:hAnsiTheme="majorHAnsi" w:cs="Arial"/>
                <w:sz w:val="22"/>
              </w:rPr>
              <w:t>re the</w:t>
            </w:r>
            <w:r w:rsidR="00D85A50" w:rsidRPr="004704A6">
              <w:rPr>
                <w:rFonts w:asciiTheme="majorHAnsi" w:hAnsiTheme="majorHAnsi" w:cs="Arial"/>
                <w:sz w:val="22"/>
              </w:rPr>
              <w:t xml:space="preserve"> </w:t>
            </w:r>
            <w:r w:rsidR="00642F13" w:rsidRPr="004704A6">
              <w:rPr>
                <w:rFonts w:asciiTheme="majorHAnsi" w:hAnsiTheme="majorHAnsi" w:cs="Arial"/>
                <w:sz w:val="22"/>
              </w:rPr>
              <w:t xml:space="preserve">value-adding features of </w:t>
            </w:r>
            <w:r w:rsidRPr="004704A6">
              <w:rPr>
                <w:rFonts w:asciiTheme="majorHAnsi" w:hAnsiTheme="majorHAnsi" w:cs="Arial"/>
                <w:sz w:val="22"/>
              </w:rPr>
              <w:t xml:space="preserve">experiential adult learning?  </w:t>
            </w:r>
            <w:r w:rsidR="00A11755">
              <w:rPr>
                <w:rFonts w:asciiTheme="majorHAnsi" w:hAnsiTheme="majorHAnsi" w:cs="Arial"/>
                <w:sz w:val="22"/>
              </w:rPr>
              <w:t xml:space="preserve">How does </w:t>
            </w:r>
            <w:r w:rsidR="00037D40">
              <w:rPr>
                <w:rFonts w:asciiTheme="majorHAnsi" w:hAnsiTheme="majorHAnsi" w:cs="Arial"/>
                <w:sz w:val="22"/>
              </w:rPr>
              <w:t>an</w:t>
            </w:r>
            <w:r w:rsidR="00A11755">
              <w:rPr>
                <w:rFonts w:asciiTheme="majorHAnsi" w:hAnsiTheme="majorHAnsi" w:cs="Arial"/>
                <w:sz w:val="22"/>
              </w:rPr>
              <w:t xml:space="preserve"> experiential </w:t>
            </w:r>
            <w:r w:rsidR="00037D40">
              <w:rPr>
                <w:rFonts w:asciiTheme="majorHAnsi" w:hAnsiTheme="majorHAnsi" w:cs="Arial"/>
                <w:sz w:val="22"/>
              </w:rPr>
              <w:t>training</w:t>
            </w:r>
            <w:r w:rsidR="00A11755">
              <w:rPr>
                <w:rFonts w:asciiTheme="majorHAnsi" w:hAnsiTheme="majorHAnsi" w:cs="Arial"/>
                <w:sz w:val="22"/>
              </w:rPr>
              <w:t xml:space="preserve"> </w:t>
            </w:r>
            <w:r w:rsidR="00037D40">
              <w:rPr>
                <w:rFonts w:asciiTheme="majorHAnsi" w:hAnsiTheme="majorHAnsi" w:cs="Arial"/>
                <w:sz w:val="22"/>
              </w:rPr>
              <w:t>design</w:t>
            </w:r>
            <w:r w:rsidR="00A11755">
              <w:rPr>
                <w:rFonts w:asciiTheme="majorHAnsi" w:hAnsiTheme="majorHAnsi" w:cs="Arial"/>
                <w:sz w:val="22"/>
              </w:rPr>
              <w:t xml:space="preserve"> </w:t>
            </w:r>
            <w:r w:rsidR="00037D40">
              <w:rPr>
                <w:rFonts w:asciiTheme="majorHAnsi" w:hAnsiTheme="majorHAnsi" w:cs="Arial"/>
                <w:sz w:val="22"/>
              </w:rPr>
              <w:t xml:space="preserve">motivate, inform and </w:t>
            </w:r>
            <w:r w:rsidR="0032428E">
              <w:rPr>
                <w:rFonts w:asciiTheme="majorHAnsi" w:hAnsiTheme="majorHAnsi" w:cs="Arial"/>
                <w:sz w:val="22"/>
              </w:rPr>
              <w:t xml:space="preserve">strategically </w:t>
            </w:r>
            <w:r w:rsidR="00037D40">
              <w:rPr>
                <w:rFonts w:asciiTheme="majorHAnsi" w:hAnsiTheme="majorHAnsi" w:cs="Arial"/>
                <w:sz w:val="22"/>
              </w:rPr>
              <w:t>activate adult learners?</w:t>
            </w:r>
          </w:p>
          <w:p w14:paraId="35666A1C" w14:textId="77777777" w:rsidR="0042430C" w:rsidRDefault="00691796" w:rsidP="00691796">
            <w:pPr>
              <w:spacing w:before="60"/>
              <w:rPr>
                <w:rFonts w:asciiTheme="majorHAnsi" w:hAnsiTheme="majorHAnsi"/>
                <w:bCs/>
                <w:sz w:val="22"/>
                <w:szCs w:val="22"/>
              </w:rPr>
            </w:pPr>
            <w:r w:rsidRPr="004704A6">
              <w:rPr>
                <w:rFonts w:asciiTheme="majorHAnsi" w:hAnsiTheme="majorHAnsi" w:cs="Arial"/>
                <w:b/>
                <w:sz w:val="22"/>
              </w:rPr>
              <w:t xml:space="preserve">Mary Jo Larson, </w:t>
            </w:r>
            <w:r w:rsidRPr="004704A6">
              <w:rPr>
                <w:rFonts w:asciiTheme="majorHAnsi" w:hAnsiTheme="majorHAnsi"/>
                <w:bCs/>
                <w:sz w:val="22"/>
                <w:szCs w:val="22"/>
              </w:rPr>
              <w:t>Senior Consultant, IFC</w:t>
            </w:r>
          </w:p>
          <w:p w14:paraId="3501797B" w14:textId="77777777" w:rsidR="006B09EF" w:rsidRPr="0042430C" w:rsidRDefault="001153CD" w:rsidP="00691796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AA6BEC">
              <w:rPr>
                <w:rFonts w:asciiTheme="majorHAnsi" w:hAnsiTheme="majorHAnsi"/>
                <w:b/>
                <w:bCs/>
                <w:sz w:val="22"/>
                <w:szCs w:val="22"/>
              </w:rPr>
              <w:t>Bistra Boeva,</w:t>
            </w:r>
            <w:r w:rsidR="00AA6BE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39594D" w:rsidRPr="00396A0A">
              <w:rPr>
                <w:rFonts w:asciiTheme="majorHAnsi" w:hAnsiTheme="majorHAnsi" w:cs="Arial"/>
                <w:sz w:val="22"/>
              </w:rPr>
              <w:t>P</w:t>
            </w:r>
            <w:r w:rsidR="00AA6BEC" w:rsidRPr="00396A0A">
              <w:rPr>
                <w:rFonts w:asciiTheme="majorHAnsi" w:hAnsiTheme="majorHAnsi" w:cs="Arial"/>
                <w:sz w:val="22"/>
              </w:rPr>
              <w:t>rofessor,</w:t>
            </w:r>
            <w:r w:rsidR="00AA6BEC" w:rsidRPr="00AA6BEC">
              <w:rPr>
                <w:rFonts w:asciiTheme="majorHAnsi" w:hAnsiTheme="majorHAnsi" w:cs="Arial"/>
                <w:sz w:val="22"/>
              </w:rPr>
              <w:t xml:space="preserve"> member of the </w:t>
            </w:r>
            <w:r w:rsidR="00510B02">
              <w:rPr>
                <w:rFonts w:asciiTheme="majorHAnsi" w:hAnsiTheme="majorHAnsi" w:cs="Arial"/>
                <w:sz w:val="22"/>
              </w:rPr>
              <w:t xml:space="preserve">IFC </w:t>
            </w:r>
            <w:r w:rsidR="00AA6BEC" w:rsidRPr="00AA6BEC">
              <w:rPr>
                <w:rFonts w:asciiTheme="majorHAnsi" w:hAnsiTheme="majorHAnsi" w:cs="Arial"/>
                <w:sz w:val="22"/>
              </w:rPr>
              <w:t>Private Sector Advisory Group</w:t>
            </w:r>
          </w:p>
        </w:tc>
      </w:tr>
      <w:tr w:rsidR="006B09EF" w:rsidRPr="004704A6" w14:paraId="539CABB9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15C4EE31" w14:textId="77777777" w:rsidR="006B09EF" w:rsidRPr="004704A6" w:rsidRDefault="008F26F3" w:rsidP="00F00941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6170CF" w:rsidRPr="004704A6">
              <w:rPr>
                <w:rFonts w:asciiTheme="majorHAnsi" w:hAnsiTheme="majorHAnsi"/>
                <w:b/>
                <w:sz w:val="22"/>
              </w:rPr>
              <w:t>:</w:t>
            </w:r>
            <w:r w:rsidRPr="004704A6">
              <w:rPr>
                <w:rFonts w:asciiTheme="majorHAnsi" w:hAnsiTheme="majorHAnsi"/>
                <w:b/>
                <w:sz w:val="22"/>
              </w:rPr>
              <w:t>3</w:t>
            </w:r>
            <w:r w:rsidR="006170CF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7A44F1" w:rsidRPr="004704A6">
              <w:rPr>
                <w:rFonts w:asciiTheme="majorHAnsi" w:hAnsiTheme="majorHAnsi"/>
                <w:b/>
                <w:sz w:val="22"/>
              </w:rPr>
              <w:t xml:space="preserve"> - </w:t>
            </w:r>
            <w:r w:rsidR="0097561C">
              <w:rPr>
                <w:rFonts w:asciiTheme="majorHAnsi" w:hAnsiTheme="majorHAnsi"/>
                <w:b/>
                <w:sz w:val="22"/>
              </w:rPr>
              <w:t>09</w:t>
            </w:r>
            <w:r w:rsidR="00582A3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6557B">
              <w:rPr>
                <w:rFonts w:asciiTheme="majorHAnsi" w:hAnsiTheme="majorHAnsi"/>
                <w:b/>
                <w:sz w:val="22"/>
              </w:rPr>
              <w:t>2</w:t>
            </w:r>
            <w:r w:rsidR="007A44F1" w:rsidRPr="004704A6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3EF2821A" w14:textId="77777777" w:rsidR="00482141" w:rsidRPr="004704A6" w:rsidRDefault="00482141" w:rsidP="00863B7F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>GOVERNANCE</w:t>
            </w:r>
            <w:r w:rsidR="003E7952">
              <w:rPr>
                <w:rFonts w:asciiTheme="majorHAnsi" w:hAnsiTheme="majorHAnsi"/>
                <w:b/>
                <w:sz w:val="22"/>
                <w:szCs w:val="22"/>
              </w:rPr>
              <w:t xml:space="preserve"> DISCLOSURE</w:t>
            </w:r>
          </w:p>
          <w:p w14:paraId="7875F10A" w14:textId="77777777" w:rsidR="00482141" w:rsidRPr="004704A6" w:rsidRDefault="00482141" w:rsidP="00863B7F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 xml:space="preserve">Board Leadership, </w:t>
            </w:r>
            <w:r w:rsidR="00D85A50" w:rsidRPr="004704A6">
              <w:rPr>
                <w:rFonts w:asciiTheme="majorHAnsi" w:hAnsiTheme="majorHAnsi"/>
                <w:b/>
                <w:sz w:val="22"/>
                <w:szCs w:val="22"/>
              </w:rPr>
              <w:t>Structure and Functioning</w:t>
            </w:r>
          </w:p>
          <w:p w14:paraId="5FAD056A" w14:textId="77777777" w:rsidR="00482141" w:rsidRPr="004704A6" w:rsidRDefault="00482141" w:rsidP="00482141">
            <w:pPr>
              <w:spacing w:before="20"/>
              <w:rPr>
                <w:rFonts w:asciiTheme="majorHAnsi" w:hAnsiTheme="majorHAnsi"/>
                <w:sz w:val="22"/>
                <w:szCs w:val="22"/>
              </w:rPr>
            </w:pPr>
            <w:r w:rsidRPr="004704A6">
              <w:rPr>
                <w:rFonts w:asciiTheme="majorHAnsi" w:hAnsiTheme="majorHAnsi"/>
                <w:sz w:val="22"/>
                <w:szCs w:val="22"/>
              </w:rPr>
              <w:t xml:space="preserve">What are the key aspects of board leadership, structure and functioning </w:t>
            </w:r>
            <w:r w:rsidR="003E7952">
              <w:rPr>
                <w:rFonts w:asciiTheme="majorHAnsi" w:hAnsiTheme="majorHAnsi"/>
                <w:sz w:val="22"/>
                <w:szCs w:val="22"/>
              </w:rPr>
              <w:t xml:space="preserve">of the board of directors 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>to include in</w:t>
            </w:r>
            <w:r w:rsidR="00037D40">
              <w:rPr>
                <w:rFonts w:asciiTheme="majorHAnsi" w:hAnsiTheme="majorHAnsi"/>
                <w:sz w:val="22"/>
                <w:szCs w:val="22"/>
              </w:rPr>
              <w:t xml:space="preserve"> transparent corporate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 xml:space="preserve"> disclosure?</w:t>
            </w:r>
          </w:p>
          <w:p w14:paraId="0BB5AC39" w14:textId="77777777" w:rsidR="006B09EF" w:rsidRPr="004704A6" w:rsidRDefault="00863B7F" w:rsidP="00863B7F">
            <w:pPr>
              <w:spacing w:before="60"/>
              <w:rPr>
                <w:rFonts w:asciiTheme="majorHAnsi" w:hAnsiTheme="majorHAnsi"/>
                <w:b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 xml:space="preserve">Anne Molyneux, 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>Vice Chair, International CG Network, member of IIRC and Director, CS International</w:t>
            </w: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863B7F" w:rsidRPr="004704A6" w14:paraId="112D8907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3C74A7B5" w14:textId="77777777" w:rsidR="00863B7F" w:rsidRPr="004704A6" w:rsidRDefault="0097561C" w:rsidP="00863B7F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09</w:t>
            </w:r>
            <w:r w:rsidR="00582A3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6557B">
              <w:rPr>
                <w:rFonts w:asciiTheme="majorHAnsi" w:hAnsiTheme="majorHAnsi"/>
                <w:b/>
                <w:sz w:val="22"/>
              </w:rPr>
              <w:t>2</w:t>
            </w:r>
            <w:r w:rsidR="00863B7F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7A44F1" w:rsidRPr="004704A6">
              <w:rPr>
                <w:rFonts w:asciiTheme="majorHAnsi" w:hAnsiTheme="majorHAnsi"/>
                <w:b/>
                <w:sz w:val="22"/>
              </w:rPr>
              <w:t xml:space="preserve"> - </w:t>
            </w:r>
            <w:r>
              <w:rPr>
                <w:rFonts w:asciiTheme="majorHAnsi" w:hAnsiTheme="majorHAnsi"/>
                <w:b/>
                <w:sz w:val="22"/>
              </w:rPr>
              <w:t>09</w:t>
            </w:r>
            <w:r w:rsidR="00582A3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6557B">
              <w:rPr>
                <w:rFonts w:asciiTheme="majorHAnsi" w:hAnsiTheme="majorHAnsi"/>
                <w:b/>
                <w:sz w:val="22"/>
              </w:rPr>
              <w:t>4</w:t>
            </w:r>
            <w:r w:rsidR="00863B7F" w:rsidRPr="004704A6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625299E0" w14:textId="77777777" w:rsidR="00582A3F" w:rsidRPr="004704A6" w:rsidRDefault="008F26F3" w:rsidP="00582A3F">
            <w:pPr>
              <w:spacing w:before="2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bCs/>
                <w:caps/>
                <w:sz w:val="22"/>
                <w:szCs w:val="22"/>
                <w:lang w:val="en-GB"/>
              </w:rPr>
              <w:t>B</w:t>
            </w:r>
            <w:r w:rsidR="00582A3F" w:rsidRPr="004704A6">
              <w:rPr>
                <w:rFonts w:asciiTheme="majorHAnsi" w:hAnsiTheme="majorHAnsi"/>
                <w:b/>
                <w:bCs/>
                <w:caps/>
                <w:sz w:val="22"/>
                <w:szCs w:val="22"/>
                <w:lang w:val="en-GB"/>
              </w:rPr>
              <w:t>eyond the Balance Sheet</w:t>
            </w:r>
          </w:p>
          <w:p w14:paraId="15E61F63" w14:textId="77777777" w:rsidR="00582A3F" w:rsidRPr="004704A6" w:rsidRDefault="00582A3F" w:rsidP="00582A3F">
            <w:pPr>
              <w:spacing w:before="2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Practical Resources on Disclosure and Transparency:  </w:t>
            </w:r>
            <w:r w:rsidRPr="004704A6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How</w:t>
            </w:r>
            <w:r w:rsidR="0059709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best</w:t>
            </w:r>
            <w:r w:rsidR="00037D4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to blend</w:t>
            </w:r>
            <w:r w:rsidR="00482141" w:rsidRPr="004704A6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 xml:space="preserve">IFC’s knowledge tools and online resources </w:t>
            </w:r>
            <w:r w:rsidR="00037D40">
              <w:rPr>
                <w:rFonts w:asciiTheme="majorHAnsi" w:hAnsiTheme="majorHAnsi"/>
                <w:sz w:val="22"/>
                <w:szCs w:val="22"/>
              </w:rPr>
              <w:t>with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37D40">
              <w:rPr>
                <w:rFonts w:asciiTheme="majorHAnsi" w:hAnsiTheme="majorHAnsi"/>
                <w:sz w:val="22"/>
                <w:szCs w:val="22"/>
              </w:rPr>
              <w:t>regional</w:t>
            </w:r>
            <w:r w:rsidR="00597094">
              <w:rPr>
                <w:rFonts w:asciiTheme="majorHAnsi" w:hAnsiTheme="majorHAnsi"/>
                <w:sz w:val="22"/>
                <w:szCs w:val="22"/>
              </w:rPr>
              <w:t xml:space="preserve"> D&amp;T</w:t>
            </w:r>
            <w:r w:rsidR="00037D4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82141" w:rsidRPr="004704A6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037D40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 w:rsidR="00482141" w:rsidRPr="004704A6">
              <w:rPr>
                <w:rFonts w:asciiTheme="majorHAnsi" w:hAnsiTheme="majorHAnsi"/>
                <w:sz w:val="22"/>
                <w:szCs w:val="22"/>
              </w:rPr>
              <w:t xml:space="preserve"> support</w:t>
            </w:r>
            <w:r w:rsidR="00597094">
              <w:rPr>
                <w:rFonts w:asciiTheme="majorHAnsi" w:hAnsiTheme="majorHAnsi"/>
                <w:sz w:val="22"/>
                <w:szCs w:val="22"/>
              </w:rPr>
              <w:t>?</w:t>
            </w:r>
            <w:r w:rsidR="00482141" w:rsidRPr="004704A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84ED9DB" w14:textId="77777777" w:rsidR="00863B7F" w:rsidRPr="004704A6" w:rsidRDefault="008F26F3" w:rsidP="00582A3F">
            <w:pPr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Mary Jo Larson</w:t>
            </w:r>
            <w:r w:rsidR="0032428E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32428E" w:rsidRPr="004704A6">
              <w:rPr>
                <w:rFonts w:asciiTheme="majorHAnsi" w:hAnsiTheme="majorHAnsi"/>
                <w:bCs/>
                <w:sz w:val="22"/>
                <w:szCs w:val="22"/>
              </w:rPr>
              <w:t xml:space="preserve">Senior Consultant, IFC </w:t>
            </w:r>
          </w:p>
          <w:p w14:paraId="44086593" w14:textId="77777777" w:rsidR="00577D4D" w:rsidRPr="0041251D" w:rsidRDefault="008F26F3" w:rsidP="00385AFA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Ralitza Germanova, </w:t>
            </w:r>
            <w:r w:rsidR="0041251D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>Disclosure and Transparency Program Lead</w:t>
            </w:r>
            <w:r w:rsidR="0041251D" w:rsidRPr="00AA64BA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 xml:space="preserve">, IFC </w:t>
            </w:r>
          </w:p>
        </w:tc>
      </w:tr>
      <w:tr w:rsidR="006B09EF" w:rsidRPr="004704A6" w14:paraId="03D82AEF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1AEE961B" w14:textId="77777777" w:rsidR="006B09EF" w:rsidRPr="004704A6" w:rsidRDefault="0097561C" w:rsidP="0086557B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09</w:t>
            </w:r>
            <w:r w:rsidR="006170C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6557B">
              <w:rPr>
                <w:rFonts w:asciiTheme="majorHAnsi" w:hAnsiTheme="majorHAnsi"/>
                <w:b/>
                <w:sz w:val="22"/>
              </w:rPr>
              <w:t>4</w:t>
            </w:r>
            <w:r w:rsidR="009A7B00" w:rsidRPr="004704A6">
              <w:rPr>
                <w:rFonts w:asciiTheme="majorHAnsi" w:hAnsiTheme="majorHAnsi"/>
                <w:b/>
                <w:sz w:val="22"/>
              </w:rPr>
              <w:t>0</w:t>
            </w:r>
            <w:r w:rsidR="00051CEB" w:rsidRPr="004704A6">
              <w:rPr>
                <w:rFonts w:asciiTheme="majorHAnsi" w:hAnsiTheme="majorHAnsi"/>
                <w:b/>
                <w:sz w:val="22"/>
              </w:rPr>
              <w:t xml:space="preserve"> - </w:t>
            </w:r>
            <w:r>
              <w:rPr>
                <w:rFonts w:asciiTheme="majorHAnsi" w:hAnsiTheme="majorHAnsi"/>
                <w:b/>
                <w:sz w:val="22"/>
              </w:rPr>
              <w:t>09</w:t>
            </w:r>
            <w:r w:rsidR="006170CF" w:rsidRPr="004704A6">
              <w:rPr>
                <w:rFonts w:asciiTheme="majorHAnsi" w:hAnsiTheme="majorHAnsi"/>
                <w:b/>
                <w:sz w:val="22"/>
              </w:rPr>
              <w:t>:</w:t>
            </w:r>
            <w:r w:rsidR="0086557B">
              <w:rPr>
                <w:rFonts w:asciiTheme="majorHAnsi" w:hAnsiTheme="majorHAnsi"/>
                <w:b/>
                <w:sz w:val="22"/>
              </w:rPr>
              <w:t>50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4E014500" w14:textId="77777777" w:rsidR="00582A3F" w:rsidRPr="004704A6" w:rsidRDefault="00212AF4" w:rsidP="009A7B00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Next Steps in </w:t>
            </w:r>
            <w:r w:rsidR="00582A3F" w:rsidRPr="004704A6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Preparation for June 16, 2021</w:t>
            </w:r>
          </w:p>
          <w:p w14:paraId="21C0FDDF" w14:textId="77777777" w:rsidR="006B09EF" w:rsidRPr="00AD2659" w:rsidRDefault="0042430C" w:rsidP="006A5669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7918FF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Yuliya Holodkova</w:t>
            </w:r>
            <w:r w:rsidRPr="007918FF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, </w:t>
            </w:r>
            <w:r w:rsidR="00754926" w:rsidRPr="007918FF">
              <w:rPr>
                <w:rFonts w:asciiTheme="majorHAnsi" w:hAnsiTheme="majorHAnsi"/>
                <w:sz w:val="22"/>
                <w:szCs w:val="22"/>
                <w:lang w:val="en-GB"/>
              </w:rPr>
              <w:t>CG Officer ECA ESG Program</w:t>
            </w:r>
            <w:r w:rsidR="00CE24A2" w:rsidRPr="00FA4AA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</w:tbl>
    <w:p w14:paraId="16F3BAEA" w14:textId="77777777" w:rsidR="006F163A" w:rsidRDefault="006F163A" w:rsidP="00D93718">
      <w:pPr>
        <w:spacing w:after="120"/>
        <w:rPr>
          <w:rFonts w:asciiTheme="majorHAnsi" w:hAnsiTheme="majorHAnsi"/>
          <w:b/>
          <w:caps/>
          <w:sz w:val="22"/>
        </w:rPr>
      </w:pPr>
      <w:r>
        <w:rPr>
          <w:rFonts w:asciiTheme="majorHAnsi" w:hAnsiTheme="majorHAnsi"/>
          <w:b/>
          <w:caps/>
          <w:sz w:val="22"/>
        </w:rPr>
        <w:lastRenderedPageBreak/>
        <w:t xml:space="preserve">I.  </w:t>
      </w:r>
      <w:r w:rsidRPr="006F163A">
        <w:rPr>
          <w:rFonts w:asciiTheme="majorHAnsi" w:hAnsiTheme="majorHAnsi"/>
          <w:b/>
          <w:caps/>
          <w:sz w:val="22"/>
        </w:rPr>
        <w:t>“Ask the Expert” Series</w:t>
      </w:r>
    </w:p>
    <w:p w14:paraId="1F565D4E" w14:textId="77777777" w:rsidR="00AC4754" w:rsidRPr="00C62060" w:rsidRDefault="006F163A" w:rsidP="00C62060">
      <w:pPr>
        <w:spacing w:before="120" w:after="120"/>
        <w:ind w:left="270"/>
        <w:rPr>
          <w:rFonts w:asciiTheme="majorHAnsi" w:hAnsiTheme="majorHAnsi"/>
          <w:b/>
          <w:sz w:val="22"/>
        </w:rPr>
      </w:pPr>
      <w:r w:rsidRPr="00D93718">
        <w:rPr>
          <w:rFonts w:asciiTheme="majorHAnsi" w:hAnsiTheme="majorHAnsi"/>
          <w:b/>
          <w:sz w:val="22"/>
        </w:rPr>
        <w:t xml:space="preserve">Activity for </w:t>
      </w:r>
      <w:r w:rsidRPr="00291403">
        <w:rPr>
          <w:rFonts w:asciiTheme="majorHAnsi" w:hAnsiTheme="majorHAnsi"/>
          <w:b/>
          <w:sz w:val="22"/>
          <w:shd w:val="clear" w:color="auto" w:fill="FFFFFF" w:themeFill="background1"/>
        </w:rPr>
        <w:t xml:space="preserve">June </w:t>
      </w:r>
      <w:r w:rsidR="00BF0BAF" w:rsidRPr="00291403">
        <w:rPr>
          <w:rFonts w:asciiTheme="majorHAnsi" w:hAnsiTheme="majorHAnsi"/>
          <w:b/>
          <w:sz w:val="22"/>
          <w:shd w:val="clear" w:color="auto" w:fill="FFFFFF" w:themeFill="background1"/>
        </w:rPr>
        <w:t>14</w:t>
      </w:r>
      <w:r w:rsidR="00291403" w:rsidRPr="00291403">
        <w:rPr>
          <w:rFonts w:asciiTheme="majorHAnsi" w:hAnsiTheme="majorHAnsi"/>
          <w:b/>
          <w:sz w:val="22"/>
          <w:shd w:val="clear" w:color="auto" w:fill="FFFFFF" w:themeFill="background1"/>
        </w:rPr>
        <w:t>,</w:t>
      </w:r>
      <w:r w:rsidR="00D93718">
        <w:rPr>
          <w:rFonts w:asciiTheme="majorHAnsi" w:hAnsiTheme="majorHAnsi"/>
          <w:b/>
          <w:sz w:val="22"/>
        </w:rPr>
        <w:t xml:space="preserve"> </w:t>
      </w:r>
      <w:r w:rsidR="00291403">
        <w:rPr>
          <w:rFonts w:asciiTheme="majorHAnsi" w:hAnsiTheme="majorHAnsi"/>
          <w:b/>
          <w:sz w:val="22"/>
        </w:rPr>
        <w:t>10</w:t>
      </w:r>
      <w:r w:rsidR="00E678E6">
        <w:rPr>
          <w:rFonts w:asciiTheme="majorHAnsi" w:hAnsiTheme="majorHAnsi"/>
          <w:b/>
          <w:sz w:val="22"/>
        </w:rPr>
        <w:t>-11</w:t>
      </w:r>
      <w:r w:rsidR="00291403">
        <w:rPr>
          <w:rFonts w:asciiTheme="majorHAnsi" w:hAnsiTheme="majorHAnsi"/>
          <w:b/>
          <w:sz w:val="22"/>
        </w:rPr>
        <w:t xml:space="preserve"> am CET</w:t>
      </w:r>
      <w:r w:rsidR="00D93718" w:rsidRPr="00D93718">
        <w:rPr>
          <w:rFonts w:asciiTheme="majorHAnsi" w:hAnsiTheme="majorHAnsi"/>
          <w:sz w:val="22"/>
        </w:rPr>
        <w:t>:</w:t>
      </w:r>
      <w:r w:rsidR="00D93718">
        <w:rPr>
          <w:rFonts w:asciiTheme="majorHAnsi" w:hAnsiTheme="majorHAnsi"/>
          <w:b/>
          <w:sz w:val="22"/>
        </w:rPr>
        <w:t xml:space="preserve">  </w:t>
      </w:r>
      <w:r w:rsidRPr="006F163A">
        <w:rPr>
          <w:rFonts w:asciiTheme="majorHAnsi" w:hAnsiTheme="majorHAnsi"/>
          <w:sz w:val="22"/>
        </w:rPr>
        <w:t xml:space="preserve">All participants are invited to sign up for a one-hour </w:t>
      </w:r>
      <w:r>
        <w:rPr>
          <w:rFonts w:asciiTheme="majorHAnsi" w:hAnsiTheme="majorHAnsi"/>
          <w:sz w:val="22"/>
        </w:rPr>
        <w:t xml:space="preserve">session </w:t>
      </w:r>
      <w:r w:rsidR="00D93718">
        <w:rPr>
          <w:rFonts w:asciiTheme="majorHAnsi" w:hAnsiTheme="majorHAnsi"/>
          <w:sz w:val="22"/>
        </w:rPr>
        <w:t xml:space="preserve">on </w:t>
      </w:r>
      <w:r w:rsidRPr="006F163A">
        <w:rPr>
          <w:rFonts w:asciiTheme="majorHAnsi" w:hAnsiTheme="majorHAnsi"/>
          <w:sz w:val="22"/>
          <w:u w:val="single"/>
        </w:rPr>
        <w:t>Corporate Governance</w:t>
      </w:r>
      <w:r w:rsidR="00D93718">
        <w:rPr>
          <w:rFonts w:asciiTheme="majorHAnsi" w:hAnsiTheme="majorHAnsi"/>
          <w:sz w:val="22"/>
          <w:u w:val="single"/>
        </w:rPr>
        <w:t xml:space="preserve"> Disclosure</w:t>
      </w:r>
      <w:r>
        <w:rPr>
          <w:rFonts w:asciiTheme="majorHAnsi" w:hAnsiTheme="majorHAnsi"/>
          <w:sz w:val="22"/>
        </w:rPr>
        <w:t xml:space="preserve"> with </w:t>
      </w:r>
      <w:r w:rsidRPr="006F163A">
        <w:rPr>
          <w:rFonts w:asciiTheme="majorHAnsi" w:hAnsiTheme="majorHAnsi"/>
          <w:sz w:val="22"/>
        </w:rPr>
        <w:t>Anne Molyneux</w:t>
      </w:r>
      <w:r>
        <w:rPr>
          <w:rFonts w:asciiTheme="majorHAnsi" w:hAnsiTheme="majorHAnsi"/>
          <w:sz w:val="22"/>
        </w:rPr>
        <w:t xml:space="preserve">.  </w:t>
      </w:r>
      <w:r w:rsidRPr="006F163A">
        <w:rPr>
          <w:rFonts w:asciiTheme="majorHAnsi" w:hAnsiTheme="majorHAnsi"/>
          <w:sz w:val="22"/>
        </w:rPr>
        <w:t>[</w:t>
      </w:r>
      <w:r w:rsidR="00FF55D0">
        <w:rPr>
          <w:rFonts w:asciiTheme="majorHAnsi" w:hAnsiTheme="majorHAnsi"/>
          <w:sz w:val="22"/>
        </w:rPr>
        <w:t xml:space="preserve">Please </w:t>
      </w:r>
      <w:r w:rsidR="00623CFA">
        <w:rPr>
          <w:rFonts w:asciiTheme="majorHAnsi" w:hAnsiTheme="majorHAnsi"/>
          <w:sz w:val="22"/>
        </w:rPr>
        <w:t>s</w:t>
      </w:r>
      <w:r w:rsidR="005F40FF">
        <w:rPr>
          <w:rFonts w:asciiTheme="majorHAnsi" w:hAnsiTheme="majorHAnsi"/>
          <w:sz w:val="22"/>
        </w:rPr>
        <w:t>ign up</w:t>
      </w:r>
      <w:r w:rsidR="00623CFA">
        <w:rPr>
          <w:rFonts w:asciiTheme="majorHAnsi" w:hAnsiTheme="majorHAnsi"/>
          <w:sz w:val="22"/>
        </w:rPr>
        <w:t xml:space="preserve"> for the session</w:t>
      </w:r>
      <w:r w:rsidR="005F40FF">
        <w:rPr>
          <w:rFonts w:asciiTheme="majorHAnsi" w:hAnsiTheme="majorHAnsi"/>
          <w:sz w:val="22"/>
        </w:rPr>
        <w:t xml:space="preserve"> </w:t>
      </w:r>
      <w:r w:rsidR="00FF55D0">
        <w:rPr>
          <w:rFonts w:asciiTheme="majorHAnsi" w:hAnsiTheme="majorHAnsi"/>
          <w:sz w:val="22"/>
        </w:rPr>
        <w:t>by sending</w:t>
      </w:r>
      <w:r w:rsidR="00CF4C8D">
        <w:rPr>
          <w:rFonts w:asciiTheme="majorHAnsi" w:hAnsiTheme="majorHAnsi"/>
          <w:sz w:val="22"/>
        </w:rPr>
        <w:t xml:space="preserve"> </w:t>
      </w:r>
      <w:r w:rsidR="00E33AEC">
        <w:rPr>
          <w:rFonts w:asciiTheme="majorHAnsi" w:hAnsiTheme="majorHAnsi"/>
          <w:sz w:val="22"/>
        </w:rPr>
        <w:t xml:space="preserve">an </w:t>
      </w:r>
      <w:r w:rsidR="00CF4C8D">
        <w:rPr>
          <w:rFonts w:asciiTheme="majorHAnsi" w:hAnsiTheme="majorHAnsi"/>
          <w:sz w:val="22"/>
        </w:rPr>
        <w:t xml:space="preserve">email to Mirjana Djukic </w:t>
      </w:r>
      <w:r w:rsidR="00BD4C45">
        <w:rPr>
          <w:rFonts w:asciiTheme="majorHAnsi" w:hAnsiTheme="majorHAnsi"/>
          <w:sz w:val="22"/>
        </w:rPr>
        <w:t xml:space="preserve">at </w:t>
      </w:r>
      <w:hyperlink r:id="rId18" w:history="1">
        <w:r w:rsidR="00BD4C45" w:rsidRPr="00DD25A0">
          <w:rPr>
            <w:rStyle w:val="Hyperlink"/>
            <w:rFonts w:asciiTheme="majorHAnsi" w:hAnsiTheme="majorHAnsi"/>
            <w:sz w:val="22"/>
          </w:rPr>
          <w:t>mdjukic@ifc.org</w:t>
        </w:r>
      </w:hyperlink>
      <w:r w:rsidR="00623CFA">
        <w:rPr>
          <w:rFonts w:asciiTheme="majorHAnsi" w:hAnsiTheme="majorHAnsi"/>
          <w:sz w:val="22"/>
        </w:rPr>
        <w:t xml:space="preserve"> by June </w:t>
      </w:r>
      <w:r w:rsidR="00CE0A37">
        <w:rPr>
          <w:rFonts w:asciiTheme="majorHAnsi" w:hAnsiTheme="majorHAnsi"/>
          <w:sz w:val="22"/>
        </w:rPr>
        <w:t>11</w:t>
      </w:r>
      <w:r w:rsidRPr="006F163A">
        <w:rPr>
          <w:rFonts w:asciiTheme="majorHAnsi" w:hAnsiTheme="majorHAnsi"/>
          <w:sz w:val="22"/>
          <w:szCs w:val="22"/>
        </w:rPr>
        <w:t xml:space="preserve">].  </w:t>
      </w:r>
    </w:p>
    <w:tbl>
      <w:tblPr>
        <w:tblW w:w="10543" w:type="dxa"/>
        <w:jc w:val="center"/>
        <w:tblCellSpacing w:w="72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2"/>
        <w:gridCol w:w="7791"/>
      </w:tblGrid>
      <w:tr w:rsidR="00AC4754" w:rsidRPr="009830FA" w14:paraId="5403A448" w14:textId="77777777">
        <w:trPr>
          <w:trHeight w:val="216"/>
          <w:tblCellSpacing w:w="72" w:type="dxa"/>
          <w:jc w:val="center"/>
        </w:trPr>
        <w:tc>
          <w:tcPr>
            <w:tcW w:w="10255" w:type="dxa"/>
            <w:gridSpan w:val="2"/>
            <w:shd w:val="clear" w:color="auto" w:fill="002060"/>
          </w:tcPr>
          <w:p w14:paraId="4F4638F3" w14:textId="77777777" w:rsidR="00AC4754" w:rsidRPr="009830FA" w:rsidRDefault="00AC4754" w:rsidP="00AC4754">
            <w:pPr>
              <w:spacing w:before="40" w:after="80"/>
              <w:jc w:val="center"/>
              <w:rPr>
                <w:rFonts w:asciiTheme="majorHAnsi" w:hAnsiTheme="majorHAnsi"/>
                <w:b/>
                <w:color w:val="FFFFFF"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  <w:szCs w:val="22"/>
              </w:rPr>
              <w:br w:type="page"/>
            </w:r>
            <w:r w:rsidRPr="009830FA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Wednesday</w:t>
            </w:r>
            <w:r w:rsidR="00510B02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 xml:space="preserve"> </w:t>
            </w:r>
            <w:r w:rsidRPr="009830FA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– June 16, 2021</w:t>
            </w:r>
          </w:p>
        </w:tc>
      </w:tr>
      <w:tr w:rsidR="00AC4754" w:rsidRPr="009830FA" w14:paraId="31622EB0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2AC24E7A" w14:textId="77777777" w:rsidR="00E31803" w:rsidRPr="009830FA" w:rsidRDefault="00E31803" w:rsidP="00E3180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B495C82" w14:textId="77777777" w:rsidR="00AC4754" w:rsidRPr="009830FA" w:rsidRDefault="00E31803" w:rsidP="00A26FB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Pr="009830FA">
              <w:rPr>
                <w:rFonts w:asciiTheme="majorHAnsi" w:hAnsiTheme="majorHAnsi"/>
                <w:b/>
                <w:sz w:val="22"/>
              </w:rPr>
              <w:t>:00</w:t>
            </w:r>
            <w:r w:rsidR="00EC5A68" w:rsidRPr="009830FA">
              <w:rPr>
                <w:rFonts w:asciiTheme="majorHAnsi" w:hAnsiTheme="majorHAnsi"/>
                <w:b/>
                <w:sz w:val="22"/>
              </w:rPr>
              <w:t xml:space="preserve"> - 0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="00EC5A68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727B9D" w:rsidRPr="009830FA">
              <w:rPr>
                <w:rFonts w:asciiTheme="majorHAnsi" w:hAnsiTheme="majorHAnsi"/>
                <w:b/>
                <w:sz w:val="22"/>
              </w:rPr>
              <w:t>2</w:t>
            </w:r>
            <w:r w:rsidR="00A26FBA" w:rsidRPr="009830FA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/>
          </w:tcPr>
          <w:p w14:paraId="486EDE4A" w14:textId="77777777" w:rsidR="00A26FBA" w:rsidRPr="00AD2659" w:rsidRDefault="009A7B00" w:rsidP="00AD2659">
            <w:pPr>
              <w:spacing w:before="120"/>
              <w:rPr>
                <w:rFonts w:asciiTheme="majorHAnsi" w:hAnsiTheme="majorHAnsi"/>
                <w:b/>
                <w:caps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caps/>
                <w:sz w:val="22"/>
                <w:szCs w:val="22"/>
              </w:rPr>
              <w:t>Welcome and Orientation</w:t>
            </w:r>
          </w:p>
          <w:p w14:paraId="6052887C" w14:textId="77777777" w:rsidR="00AD2659" w:rsidRDefault="00AD2659" w:rsidP="00AD2659">
            <w:pPr>
              <w:spacing w:before="2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Orientation includes</w:t>
            </w:r>
            <w:r w:rsidR="00FA4AA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ED7357">
              <w:rPr>
                <w:rFonts w:asciiTheme="majorHAnsi" w:hAnsiTheme="majorHAnsi"/>
                <w:bCs/>
                <w:sz w:val="22"/>
                <w:szCs w:val="22"/>
              </w:rPr>
              <w:t xml:space="preserve">June 9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review </w:t>
            </w:r>
            <w:r w:rsidR="00FA4AA5">
              <w:rPr>
                <w:rFonts w:asciiTheme="majorHAnsi" w:hAnsiTheme="majorHAnsi"/>
                <w:bCs/>
                <w:sz w:val="22"/>
                <w:szCs w:val="22"/>
              </w:rPr>
              <w:t xml:space="preserve">and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discussion </w:t>
            </w:r>
            <w:r w:rsidR="00FA4AA5">
              <w:rPr>
                <w:rFonts w:asciiTheme="majorHAnsi" w:hAnsiTheme="majorHAnsi"/>
                <w:bCs/>
                <w:sz w:val="22"/>
                <w:szCs w:val="22"/>
              </w:rPr>
              <w:t xml:space="preserve">of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peer</w:t>
            </w:r>
            <w:r w:rsidR="00FA4AA5">
              <w:rPr>
                <w:rFonts w:asciiTheme="majorHAnsi" w:hAnsiTheme="majorHAnsi"/>
                <w:bCs/>
                <w:sz w:val="22"/>
                <w:szCs w:val="22"/>
              </w:rPr>
              <w:t xml:space="preserve"> learning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A26FBA" w:rsidRPr="00AD2659">
              <w:rPr>
                <w:rFonts w:asciiTheme="majorHAnsi" w:hAnsiTheme="majorHAnsi"/>
                <w:bCs/>
                <w:sz w:val="22"/>
                <w:szCs w:val="22"/>
              </w:rPr>
              <w:t>assignment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s.  </w:t>
            </w:r>
          </w:p>
          <w:p w14:paraId="594AE173" w14:textId="77777777" w:rsidR="00FA4AA5" w:rsidRPr="00FA4AA5" w:rsidRDefault="00CE24A2" w:rsidP="00FA4AA5">
            <w:pPr>
              <w:spacing w:before="20"/>
              <w:rPr>
                <w:rFonts w:asciiTheme="majorHAnsi" w:hAnsiTheme="majorHAnsi"/>
                <w:bCs/>
                <w:sz w:val="22"/>
                <w:szCs w:val="22"/>
              </w:rPr>
            </w:pPr>
            <w:r w:rsidRPr="0042430C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Yuliya Holodkova</w:t>
            </w:r>
            <w:r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, </w:t>
            </w:r>
            <w:r w:rsidR="002C785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CG Officer, </w:t>
            </w:r>
            <w:r w:rsidR="00AD2659" w:rsidRPr="00FA4AA5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ECA ESG Team</w:t>
            </w:r>
            <w:r w:rsidR="00FA4AA5" w:rsidRPr="00FA4AA5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</w:t>
            </w:r>
            <w:r w:rsidR="00AD2659" w:rsidRPr="00FA4AA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28B7E1E7" w14:textId="77777777" w:rsidR="00AC4754" w:rsidRPr="00FA4AA5" w:rsidRDefault="00FA4AA5" w:rsidP="00FA4AA5">
            <w:pPr>
              <w:spacing w:before="20"/>
              <w:rPr>
                <w:rFonts w:asciiTheme="majorHAnsi" w:hAnsiTheme="majorHAnsi"/>
                <w:bCs/>
                <w:sz w:val="22"/>
                <w:szCs w:val="22"/>
              </w:rPr>
            </w:pPr>
            <w:r w:rsidRPr="00FA4AA5">
              <w:rPr>
                <w:rFonts w:asciiTheme="majorHAnsi" w:hAnsiTheme="majorHAnsi"/>
                <w:b/>
                <w:bCs/>
                <w:sz w:val="22"/>
                <w:szCs w:val="22"/>
              </w:rPr>
              <w:t>Mary Jo Larson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Senior Consultant IFC</w:t>
            </w:r>
          </w:p>
        </w:tc>
      </w:tr>
      <w:tr w:rsidR="0096369C" w:rsidRPr="009830FA" w14:paraId="588102AE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1EA5F2A0" w14:textId="77777777" w:rsidR="0096369C" w:rsidRPr="009830FA" w:rsidRDefault="006E5194" w:rsidP="00E3180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727B9D" w:rsidRPr="009830FA">
              <w:rPr>
                <w:rFonts w:asciiTheme="majorHAnsi" w:hAnsiTheme="majorHAnsi"/>
                <w:b/>
                <w:sz w:val="22"/>
              </w:rPr>
              <w:t>2</w:t>
            </w:r>
            <w:r w:rsidR="008A5D3A" w:rsidRPr="009830FA">
              <w:rPr>
                <w:rFonts w:asciiTheme="majorHAnsi" w:hAnsiTheme="majorHAnsi"/>
                <w:b/>
                <w:sz w:val="22"/>
              </w:rPr>
              <w:t>0 –</w:t>
            </w:r>
            <w:r w:rsidR="00CC5934" w:rsidRPr="009830FA">
              <w:rPr>
                <w:rFonts w:asciiTheme="majorHAnsi" w:hAnsiTheme="majorHAnsi"/>
                <w:b/>
                <w:sz w:val="22"/>
              </w:rPr>
              <w:t xml:space="preserve"> 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CC5934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DD61AC">
              <w:rPr>
                <w:rFonts w:asciiTheme="majorHAnsi" w:hAnsiTheme="majorHAnsi"/>
                <w:b/>
                <w:sz w:val="22"/>
              </w:rPr>
              <w:t>10</w:t>
            </w:r>
          </w:p>
        </w:tc>
        <w:tc>
          <w:tcPr>
            <w:tcW w:w="7575" w:type="dxa"/>
            <w:shd w:val="clear" w:color="auto" w:fill="DBE5F1"/>
          </w:tcPr>
          <w:p w14:paraId="5F59B20D" w14:textId="77777777" w:rsidR="00AD2659" w:rsidRDefault="00AD2659" w:rsidP="006E5194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REPORTING ON </w:t>
            </w:r>
            <w:r w:rsidR="006E5194" w:rsidRPr="009830FA">
              <w:rPr>
                <w:rFonts w:asciiTheme="majorHAnsi" w:hAnsiTheme="majorHAnsi"/>
                <w:b/>
                <w:sz w:val="22"/>
                <w:szCs w:val="22"/>
              </w:rPr>
              <w:t>STRATEGY</w:t>
            </w:r>
            <w:r w:rsidR="009A3A9D" w:rsidRPr="009830F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F1072F8" w14:textId="77777777" w:rsidR="00DB31E7" w:rsidRPr="00A11755" w:rsidRDefault="002B0B44" w:rsidP="00AD2659">
            <w:pPr>
              <w:spacing w:before="2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AD2659">
              <w:rPr>
                <w:rFonts w:asciiTheme="majorHAnsi" w:hAnsiTheme="majorHAnsi"/>
                <w:b/>
                <w:sz w:val="22"/>
                <w:szCs w:val="22"/>
              </w:rPr>
              <w:t xml:space="preserve">How to communicate </w:t>
            </w:r>
            <w:r w:rsidR="00DB31E7">
              <w:rPr>
                <w:rFonts w:asciiTheme="majorHAnsi" w:hAnsiTheme="majorHAnsi"/>
                <w:b/>
                <w:sz w:val="22"/>
                <w:szCs w:val="22"/>
              </w:rPr>
              <w:t xml:space="preserve">forward-looking </w:t>
            </w:r>
            <w:r w:rsidR="00AD2659" w:rsidRPr="00AD2659">
              <w:rPr>
                <w:rFonts w:asciiTheme="majorHAnsi" w:hAnsiTheme="majorHAnsi"/>
                <w:b/>
                <w:sz w:val="22"/>
                <w:szCs w:val="22"/>
              </w:rPr>
              <w:t>strategy</w:t>
            </w:r>
            <w:r w:rsidR="00AD2659" w:rsidRPr="00AD265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AD2659">
              <w:rPr>
                <w:rFonts w:asciiTheme="majorHAnsi" w:hAnsiTheme="majorHAnsi"/>
                <w:b/>
                <w:sz w:val="22"/>
                <w:szCs w:val="22"/>
              </w:rPr>
              <w:t xml:space="preserve">information in your </w:t>
            </w:r>
            <w:r w:rsidR="00DB31E7">
              <w:rPr>
                <w:rFonts w:asciiTheme="majorHAnsi" w:hAnsiTheme="majorHAnsi"/>
                <w:b/>
                <w:sz w:val="22"/>
                <w:szCs w:val="22"/>
              </w:rPr>
              <w:t xml:space="preserve">reporting? </w:t>
            </w:r>
            <w:r w:rsidR="00DB31E7" w:rsidRPr="00A11755">
              <w:rPr>
                <w:rFonts w:asciiTheme="majorHAnsi" w:hAnsiTheme="majorHAnsi"/>
                <w:b/>
                <w:sz w:val="22"/>
                <w:szCs w:val="22"/>
              </w:rPr>
              <w:t>What are the</w:t>
            </w:r>
            <w:r w:rsidR="001B171B">
              <w:rPr>
                <w:rFonts w:asciiTheme="majorHAnsi" w:hAnsiTheme="majorHAnsi"/>
                <w:b/>
                <w:sz w:val="22"/>
                <w:szCs w:val="22"/>
              </w:rPr>
              <w:t xml:space="preserve"> key steps</w:t>
            </w:r>
            <w:r w:rsidR="00DB31E7" w:rsidRPr="00A1175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1B171B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Pr="00A11755">
              <w:rPr>
                <w:rFonts w:asciiTheme="majorHAnsi" w:hAnsiTheme="majorHAnsi"/>
                <w:b/>
                <w:sz w:val="22"/>
                <w:szCs w:val="22"/>
              </w:rPr>
              <w:t xml:space="preserve">internal process </w:t>
            </w:r>
            <w:r w:rsidR="001B171B">
              <w:rPr>
                <w:rFonts w:asciiTheme="majorHAnsi" w:hAnsiTheme="majorHAnsi"/>
                <w:b/>
                <w:sz w:val="22"/>
                <w:szCs w:val="22"/>
              </w:rPr>
              <w:t>&amp;</w:t>
            </w:r>
            <w:r w:rsidRPr="00A11755">
              <w:rPr>
                <w:rFonts w:asciiTheme="majorHAnsi" w:hAnsiTheme="majorHAnsi"/>
                <w:b/>
                <w:sz w:val="22"/>
                <w:szCs w:val="22"/>
              </w:rPr>
              <w:t xml:space="preserve"> practices</w:t>
            </w:r>
            <w:r w:rsidR="001B171B"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Pr="00A11755">
              <w:rPr>
                <w:rFonts w:asciiTheme="majorHAnsi" w:hAnsiTheme="majorHAnsi"/>
                <w:b/>
                <w:sz w:val="22"/>
                <w:szCs w:val="22"/>
              </w:rPr>
              <w:t xml:space="preserve"> in the reporting journey?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05174A32" w14:textId="77777777" w:rsidR="002B0B44" w:rsidRPr="009830FA" w:rsidRDefault="00DB31E7" w:rsidP="00AD2659">
            <w:pPr>
              <w:spacing w:before="2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B31E7">
              <w:rPr>
                <w:rFonts w:asciiTheme="majorHAnsi" w:hAnsiTheme="majorHAnsi"/>
                <w:b/>
                <w:sz w:val="22"/>
                <w:szCs w:val="22"/>
              </w:rPr>
              <w:t>Skill development: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How to assess </w:t>
            </w:r>
            <w:r w:rsidR="00486610">
              <w:rPr>
                <w:rFonts w:asciiTheme="majorHAnsi" w:hAnsiTheme="majorHAnsi"/>
                <w:sz w:val="22"/>
                <w:szCs w:val="22"/>
              </w:rPr>
              <w:t xml:space="preserve">reporting on 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strategy in an annual report?  </w:t>
            </w:r>
            <w:r w:rsidR="00F72104">
              <w:rPr>
                <w:rFonts w:asciiTheme="majorHAnsi" w:hAnsiTheme="majorHAnsi"/>
                <w:sz w:val="22"/>
                <w:szCs w:val="22"/>
              </w:rPr>
              <w:t>Review strategy section</w:t>
            </w:r>
            <w:r w:rsidR="00486610">
              <w:rPr>
                <w:rFonts w:asciiTheme="majorHAnsi" w:hAnsiTheme="majorHAnsi"/>
                <w:sz w:val="22"/>
                <w:szCs w:val="22"/>
              </w:rPr>
              <w:t xml:space="preserve"> to form questions and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 make recommendations</w:t>
            </w:r>
            <w:r w:rsidR="0048661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86192F" w14:textId="77777777" w:rsidR="0096369C" w:rsidRPr="009830FA" w:rsidRDefault="006E5194" w:rsidP="00577D4D">
            <w:pPr>
              <w:spacing w:before="60" w:after="60"/>
              <w:rPr>
                <w:rFonts w:asciiTheme="majorHAnsi" w:hAnsiTheme="majorHAnsi"/>
                <w:b/>
                <w:color w:val="984806" w:themeColor="accent6" w:themeShade="80"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sz w:val="22"/>
                <w:szCs w:val="22"/>
              </w:rPr>
              <w:t xml:space="preserve">Susan Blesener, </w:t>
            </w:r>
            <w:r w:rsidRPr="009830FA">
              <w:rPr>
                <w:rFonts w:asciiTheme="majorHAnsi" w:hAnsiTheme="majorHAnsi"/>
                <w:sz w:val="22"/>
                <w:szCs w:val="22"/>
              </w:rPr>
              <w:t>CEO, The Art of Value</w:t>
            </w:r>
          </w:p>
        </w:tc>
      </w:tr>
      <w:tr w:rsidR="002D4036" w:rsidRPr="009830FA" w14:paraId="18CDCC10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6850A88C" w14:textId="77777777" w:rsidR="002D4036" w:rsidRPr="009830FA" w:rsidRDefault="00546257" w:rsidP="00E3180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DD61AC">
              <w:rPr>
                <w:rFonts w:asciiTheme="majorHAnsi" w:hAnsiTheme="majorHAnsi"/>
                <w:b/>
                <w:sz w:val="22"/>
              </w:rPr>
              <w:t>10</w:t>
            </w:r>
            <w:r w:rsidRPr="009830FA">
              <w:rPr>
                <w:rFonts w:asciiTheme="majorHAnsi" w:hAnsiTheme="majorHAnsi"/>
                <w:b/>
                <w:sz w:val="22"/>
              </w:rPr>
              <w:t xml:space="preserve"> - 0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Pr="009830FA">
              <w:rPr>
                <w:rFonts w:asciiTheme="majorHAnsi" w:hAnsiTheme="majorHAnsi"/>
                <w:b/>
                <w:sz w:val="22"/>
              </w:rPr>
              <w:t>:5</w:t>
            </w:r>
            <w:r w:rsidR="00BA008C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/>
          </w:tcPr>
          <w:p w14:paraId="795EECCE" w14:textId="77777777" w:rsidR="006E5194" w:rsidRPr="009830FA" w:rsidRDefault="006E5194" w:rsidP="002D4036">
            <w:pPr>
              <w:spacing w:before="60" w:after="60"/>
              <w:rPr>
                <w:rFonts w:asciiTheme="majorHAnsi" w:hAnsiTheme="majorHAnsi"/>
                <w:b/>
                <w:bCs/>
                <w:caps/>
                <w:sz w:val="22"/>
                <w:szCs w:val="22"/>
                <w:lang w:val="en-GB"/>
              </w:rPr>
            </w:pPr>
            <w:r w:rsidRPr="009830FA">
              <w:rPr>
                <w:rFonts w:asciiTheme="majorHAnsi" w:hAnsiTheme="majorHAnsi"/>
                <w:b/>
                <w:bCs/>
                <w:caps/>
                <w:sz w:val="22"/>
                <w:szCs w:val="22"/>
                <w:lang w:val="en-GB"/>
              </w:rPr>
              <w:t>Control Environment</w:t>
            </w:r>
          </w:p>
          <w:p w14:paraId="49AF94E5" w14:textId="77777777" w:rsidR="00A11755" w:rsidRDefault="00A11755" w:rsidP="00A11755">
            <w:pPr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How is the company’s control environment structured?  How to report on internal control, risk management and the role of the audit committee?   </w:t>
            </w:r>
          </w:p>
          <w:p w14:paraId="6FEFEAFB" w14:textId="77777777" w:rsidR="00A11755" w:rsidRPr="009830FA" w:rsidRDefault="00A11755" w:rsidP="00A11755">
            <w:pPr>
              <w:spacing w:before="2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B31E7">
              <w:rPr>
                <w:rFonts w:asciiTheme="majorHAnsi" w:hAnsiTheme="majorHAnsi"/>
                <w:b/>
                <w:sz w:val="22"/>
                <w:szCs w:val="22"/>
              </w:rPr>
              <w:t>Skill development: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How to assess </w:t>
            </w:r>
            <w:r>
              <w:rPr>
                <w:rFonts w:asciiTheme="majorHAnsi" w:hAnsiTheme="majorHAnsi"/>
                <w:sz w:val="22"/>
                <w:szCs w:val="22"/>
              </w:rPr>
              <w:t>disclosure of the control environment</w:t>
            </w:r>
            <w:r w:rsidRPr="00DB31E7">
              <w:rPr>
                <w:rFonts w:asciiTheme="majorHAnsi" w:hAnsiTheme="majorHAnsi"/>
                <w:sz w:val="22"/>
                <w:szCs w:val="22"/>
              </w:rPr>
              <w:t xml:space="preserve"> in an annual report?  </w:t>
            </w:r>
            <w:r>
              <w:rPr>
                <w:rFonts w:asciiTheme="majorHAnsi" w:hAnsiTheme="majorHAnsi"/>
                <w:sz w:val="22"/>
                <w:szCs w:val="22"/>
              </w:rPr>
              <w:t>Review risk management, internal control and audit committee sections</w:t>
            </w:r>
            <w:r w:rsidR="001B171B">
              <w:rPr>
                <w:rFonts w:asciiTheme="majorHAnsi" w:hAnsiTheme="majorHAnsi"/>
                <w:sz w:val="22"/>
                <w:szCs w:val="22"/>
              </w:rPr>
              <w:t xml:space="preserve"> to form questions and</w:t>
            </w:r>
            <w:r w:rsidR="001B171B" w:rsidRPr="00DB31E7">
              <w:rPr>
                <w:rFonts w:asciiTheme="majorHAnsi" w:hAnsiTheme="majorHAnsi"/>
                <w:sz w:val="22"/>
                <w:szCs w:val="22"/>
              </w:rPr>
              <w:t xml:space="preserve"> make recommendations</w:t>
            </w:r>
            <w:r w:rsidR="001B171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2169E8F" w14:textId="4F0D996A" w:rsidR="00775EBB" w:rsidRPr="00A11755" w:rsidRDefault="00DD1950" w:rsidP="00BA373C">
            <w:pPr>
              <w:spacing w:before="60" w:after="60"/>
              <w:rPr>
                <w:rFonts w:asciiTheme="majorHAnsi" w:hAnsiTheme="majorHAnsi"/>
                <w:bCs/>
                <w:i/>
                <w:sz w:val="22"/>
                <w:szCs w:val="22"/>
                <w:lang w:val="en-GB"/>
              </w:rPr>
            </w:pPr>
            <w:r w:rsidRPr="004704A6">
              <w:rPr>
                <w:rFonts w:asciiTheme="majorHAnsi" w:hAnsiTheme="majorHAnsi"/>
                <w:b/>
                <w:sz w:val="22"/>
                <w:szCs w:val="22"/>
              </w:rPr>
              <w:t xml:space="preserve">Anne Molyneux, </w:t>
            </w:r>
            <w:r w:rsidRPr="004704A6">
              <w:rPr>
                <w:rFonts w:asciiTheme="majorHAnsi" w:hAnsiTheme="majorHAnsi"/>
                <w:sz w:val="22"/>
                <w:szCs w:val="22"/>
              </w:rPr>
              <w:t>Vice Chair, International CG Network, member of IIRC and Director, CS International</w:t>
            </w:r>
          </w:p>
        </w:tc>
      </w:tr>
      <w:tr w:rsidR="00AC4754" w:rsidRPr="009830FA" w14:paraId="0A13C74B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2A1A3BCF" w14:textId="77777777" w:rsidR="00AC4754" w:rsidRPr="009830FA" w:rsidRDefault="00CC5934" w:rsidP="00154BD4">
            <w:pPr>
              <w:spacing w:before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546257" w:rsidRPr="009830FA">
              <w:rPr>
                <w:rFonts w:asciiTheme="majorHAnsi" w:hAnsiTheme="majorHAnsi"/>
                <w:b/>
                <w:sz w:val="22"/>
              </w:rPr>
              <w:t>:5</w:t>
            </w:r>
            <w:r w:rsidR="009E5FE3">
              <w:rPr>
                <w:rFonts w:asciiTheme="majorHAnsi" w:hAnsiTheme="majorHAnsi"/>
                <w:b/>
                <w:sz w:val="22"/>
              </w:rPr>
              <w:t>0</w:t>
            </w:r>
            <w:r w:rsidR="006E5194" w:rsidRPr="009830FA">
              <w:rPr>
                <w:rFonts w:asciiTheme="majorHAnsi" w:hAnsiTheme="majorHAnsi"/>
                <w:b/>
                <w:sz w:val="22"/>
              </w:rPr>
              <w:t xml:space="preserve"> - </w:t>
            </w:r>
            <w:r w:rsidR="0097561C">
              <w:rPr>
                <w:rFonts w:asciiTheme="majorHAnsi" w:hAnsiTheme="majorHAnsi"/>
                <w:b/>
                <w:sz w:val="22"/>
              </w:rPr>
              <w:t>09</w:t>
            </w:r>
            <w:r w:rsidR="006E5194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2B0B44" w:rsidRPr="009830FA">
              <w:rPr>
                <w:rFonts w:asciiTheme="majorHAnsi" w:hAnsiTheme="majorHAnsi"/>
                <w:b/>
                <w:sz w:val="22"/>
              </w:rPr>
              <w:t>3</w:t>
            </w:r>
            <w:r w:rsidR="001B38D8">
              <w:rPr>
                <w:rFonts w:asciiTheme="majorHAnsi" w:hAnsiTheme="majorHAnsi"/>
                <w:b/>
                <w:sz w:val="22"/>
              </w:rPr>
              <w:t>5</w:t>
            </w:r>
            <w:r w:rsidR="004D792E" w:rsidRPr="009830FA">
              <w:rPr>
                <w:rFonts w:asciiTheme="majorHAnsi" w:hAnsiTheme="majorHAnsi"/>
                <w:b/>
                <w:sz w:val="22"/>
              </w:rPr>
              <w:t xml:space="preserve"> </w:t>
            </w:r>
          </w:p>
        </w:tc>
        <w:tc>
          <w:tcPr>
            <w:tcW w:w="7575" w:type="dxa"/>
            <w:shd w:val="clear" w:color="auto" w:fill="DBE5F1"/>
          </w:tcPr>
          <w:p w14:paraId="4B753E4E" w14:textId="77777777" w:rsidR="00A26FBA" w:rsidRPr="009830FA" w:rsidRDefault="0023454E" w:rsidP="00A26FBA">
            <w:pPr>
              <w:spacing w:before="60"/>
              <w:rPr>
                <w:rFonts w:asciiTheme="majorHAnsi" w:hAnsiTheme="majorHAnsi"/>
                <w:b/>
                <w:cap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D&amp;T </w:t>
            </w:r>
            <w:r w:rsidR="0074640B" w:rsidRPr="009830FA"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Creation and </w:t>
            </w:r>
            <w:r w:rsidR="00CC5934" w:rsidRPr="009830FA">
              <w:rPr>
                <w:rFonts w:asciiTheme="majorHAnsi" w:hAnsiTheme="majorHAnsi"/>
                <w:b/>
                <w:caps/>
                <w:sz w:val="22"/>
                <w:szCs w:val="22"/>
              </w:rPr>
              <w:t>GAP Analysis</w:t>
            </w:r>
            <w:r w:rsidR="00A26FBA" w:rsidRPr="009830FA"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 TOOL </w:t>
            </w:r>
          </w:p>
          <w:p w14:paraId="6BE40276" w14:textId="77777777" w:rsidR="00A26FBA" w:rsidRPr="007061F9" w:rsidRDefault="001B171B" w:rsidP="007061F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>How to identify, create</w:t>
            </w:r>
            <w:r w:rsidR="0023454E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assess</w:t>
            </w:r>
            <w:r w:rsidR="0023454E">
              <w:rPr>
                <w:rFonts w:asciiTheme="majorHAnsi" w:hAnsiTheme="majorHAnsi" w:cstheme="majorHAnsi"/>
                <w:bCs/>
                <w:sz w:val="22"/>
                <w:szCs w:val="22"/>
              </w:rPr>
              <w:t>,</w:t>
            </w: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3454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disclose ESG information for investors and other stakeholders? </w:t>
            </w:r>
            <w:r w:rsidR="007061F9"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Question-based </w:t>
            </w: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>guidance</w:t>
            </w:r>
            <w:r w:rsid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for </w:t>
            </w: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report </w:t>
            </w:r>
            <w:r w:rsidR="007061F9"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>creation</w:t>
            </w:r>
            <w:r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7061F9">
              <w:rPr>
                <w:rFonts w:asciiTheme="majorHAnsi" w:hAnsiTheme="majorHAnsi" w:cstheme="majorHAnsi"/>
                <w:bCs/>
                <w:sz w:val="22"/>
                <w:szCs w:val="22"/>
              </w:rPr>
              <w:t>and gap analysis will refer</w:t>
            </w:r>
            <w:r w:rsidR="007061F9"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key steps </w:t>
            </w:r>
            <w:r w:rsidR="0023454E">
              <w:rPr>
                <w:rFonts w:asciiTheme="majorHAnsi" w:hAnsiTheme="majorHAnsi" w:cstheme="majorHAnsi"/>
                <w:bCs/>
                <w:sz w:val="22"/>
                <w:szCs w:val="22"/>
              </w:rPr>
              <w:t>in the IFC’s Disclosure and Transparency Toolkit</w:t>
            </w:r>
            <w:r w:rsidR="007061F9" w:rsidRPr="007061F9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253F57B0" w14:textId="77777777" w:rsidR="00AC4754" w:rsidRPr="009830FA" w:rsidRDefault="001153CD" w:rsidP="0072506A">
            <w:pPr>
              <w:spacing w:before="60" w:after="120"/>
              <w:rPr>
                <w:rFonts w:asciiTheme="majorHAnsi" w:hAnsiTheme="majorHAnsi" w:cs="Arial"/>
                <w:b/>
                <w:caps/>
                <w:sz w:val="22"/>
              </w:rPr>
            </w:pPr>
            <w:r w:rsidRPr="0064105F">
              <w:rPr>
                <w:rFonts w:asciiTheme="majorHAnsi" w:hAnsiTheme="majorHAnsi"/>
                <w:b/>
                <w:sz w:val="22"/>
                <w:szCs w:val="22"/>
              </w:rPr>
              <w:t>Erik P.M. Vermeulen,</w:t>
            </w:r>
            <w:r w:rsidR="009E5FE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4105F" w:rsidRPr="00ED7357">
              <w:rPr>
                <w:rFonts w:asciiTheme="majorHAnsi" w:hAnsiTheme="majorHAnsi"/>
                <w:sz w:val="22"/>
                <w:szCs w:val="22"/>
              </w:rPr>
              <w:t>Tilburg University Professor &amp; Senior Legal Counsel, Signify</w:t>
            </w:r>
          </w:p>
        </w:tc>
      </w:tr>
      <w:tr w:rsidR="002D4036" w:rsidRPr="009830FA" w14:paraId="597063E0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33D13F3F" w14:textId="77777777" w:rsidR="002D4036" w:rsidRPr="009830FA" w:rsidRDefault="0097561C" w:rsidP="007061F9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09</w:t>
            </w:r>
            <w:r w:rsidR="00546257" w:rsidRPr="009830FA">
              <w:rPr>
                <w:rFonts w:asciiTheme="majorHAnsi" w:hAnsiTheme="majorHAnsi"/>
                <w:b/>
                <w:sz w:val="22"/>
              </w:rPr>
              <w:t>:3</w:t>
            </w:r>
            <w:r w:rsidR="001B38D8">
              <w:rPr>
                <w:rFonts w:asciiTheme="majorHAnsi" w:hAnsiTheme="majorHAnsi"/>
                <w:b/>
                <w:sz w:val="22"/>
              </w:rPr>
              <w:t>5</w:t>
            </w:r>
            <w:r w:rsidR="00546257" w:rsidRPr="009830FA">
              <w:rPr>
                <w:rFonts w:asciiTheme="majorHAnsi" w:hAnsiTheme="majorHAnsi"/>
                <w:b/>
                <w:sz w:val="22"/>
              </w:rPr>
              <w:t xml:space="preserve"> - </w:t>
            </w:r>
            <w:r>
              <w:rPr>
                <w:rFonts w:asciiTheme="majorHAnsi" w:hAnsiTheme="majorHAnsi"/>
                <w:b/>
                <w:sz w:val="22"/>
              </w:rPr>
              <w:t>09</w:t>
            </w:r>
            <w:r w:rsidR="00A94BF4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1B38D8">
              <w:rPr>
                <w:rFonts w:asciiTheme="majorHAnsi" w:hAnsiTheme="majorHAnsi"/>
                <w:b/>
                <w:sz w:val="22"/>
              </w:rPr>
              <w:t>50</w:t>
            </w:r>
            <w:r w:rsidR="004D792E" w:rsidRPr="009830FA">
              <w:rPr>
                <w:rFonts w:asciiTheme="majorHAnsi" w:hAnsiTheme="majorHAnsi"/>
                <w:b/>
                <w:sz w:val="22"/>
              </w:rPr>
              <w:t xml:space="preserve"> </w:t>
            </w:r>
          </w:p>
        </w:tc>
        <w:tc>
          <w:tcPr>
            <w:tcW w:w="7575" w:type="dxa"/>
            <w:shd w:val="clear" w:color="auto" w:fill="DBE5F1"/>
          </w:tcPr>
          <w:p w14:paraId="7D7413CC" w14:textId="77777777" w:rsidR="005A7718" w:rsidRPr="009830FA" w:rsidRDefault="005A7718" w:rsidP="005A7718">
            <w:pPr>
              <w:pStyle w:val="Default"/>
              <w:spacing w:before="1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bCs/>
                <w:sz w:val="22"/>
                <w:szCs w:val="22"/>
              </w:rPr>
              <w:t>EXPERIENTIAL LEARNING: DESIGN AND TECHNIQUES</w:t>
            </w:r>
          </w:p>
          <w:p w14:paraId="692876FD" w14:textId="77777777" w:rsidR="007061F9" w:rsidRDefault="005A7718" w:rsidP="005A7718">
            <w:pPr>
              <w:spacing w:before="60"/>
              <w:rPr>
                <w:rFonts w:asciiTheme="majorHAnsi" w:hAnsiTheme="majorHAnsi" w:cs="Arial"/>
                <w:sz w:val="22"/>
              </w:rPr>
            </w:pPr>
            <w:r w:rsidRPr="009830FA">
              <w:rPr>
                <w:rFonts w:asciiTheme="majorHAnsi" w:hAnsiTheme="majorHAnsi" w:cs="Arial"/>
                <w:b/>
                <w:sz w:val="22"/>
              </w:rPr>
              <w:t>How to more fully engage and draw upon the e</w:t>
            </w:r>
            <w:r w:rsidR="00546257" w:rsidRPr="009830FA">
              <w:rPr>
                <w:rFonts w:asciiTheme="majorHAnsi" w:hAnsiTheme="majorHAnsi" w:cs="Arial"/>
                <w:b/>
                <w:sz w:val="22"/>
              </w:rPr>
              <w:t>xperiences of adult learners?</w:t>
            </w:r>
            <w:r w:rsidR="00546257" w:rsidRPr="009830FA">
              <w:rPr>
                <w:rFonts w:asciiTheme="majorHAnsi" w:hAnsiTheme="majorHAnsi" w:cs="Arial"/>
                <w:sz w:val="22"/>
              </w:rPr>
              <w:t xml:space="preserve">  </w:t>
            </w:r>
          </w:p>
          <w:p w14:paraId="5069A7BE" w14:textId="77777777" w:rsidR="005A7718" w:rsidRPr="007061F9" w:rsidRDefault="00597094" w:rsidP="005A7718">
            <w:pPr>
              <w:spacing w:before="60"/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Review</w:t>
            </w:r>
            <w:r w:rsidR="00546257" w:rsidRPr="007061F9">
              <w:rPr>
                <w:rFonts w:asciiTheme="majorHAnsi" w:hAnsiTheme="majorHAnsi" w:cs="Arial"/>
                <w:sz w:val="22"/>
              </w:rPr>
              <w:t xml:space="preserve"> sessions</w:t>
            </w:r>
            <w:r>
              <w:rPr>
                <w:rFonts w:asciiTheme="majorHAnsi" w:hAnsiTheme="majorHAnsi" w:cs="Arial"/>
                <w:sz w:val="22"/>
              </w:rPr>
              <w:t xml:space="preserve"> to identify</w:t>
            </w:r>
            <w:r w:rsidR="007061F9" w:rsidRPr="007061F9">
              <w:rPr>
                <w:rFonts w:asciiTheme="majorHAnsi" w:hAnsiTheme="majorHAnsi" w:cs="Arial"/>
                <w:sz w:val="22"/>
              </w:rPr>
              <w:t xml:space="preserve"> </w:t>
            </w:r>
            <w:r w:rsidR="00A94BF4" w:rsidRPr="007061F9">
              <w:rPr>
                <w:rFonts w:asciiTheme="majorHAnsi" w:hAnsiTheme="majorHAnsi" w:cs="Arial"/>
                <w:sz w:val="22"/>
              </w:rPr>
              <w:t>effective facilitation</w:t>
            </w:r>
            <w:r w:rsidR="007061F9">
              <w:rPr>
                <w:rFonts w:asciiTheme="majorHAnsi" w:hAnsiTheme="majorHAnsi" w:cs="Arial"/>
                <w:sz w:val="22"/>
              </w:rPr>
              <w:t xml:space="preserve"> skills</w:t>
            </w:r>
            <w:r w:rsidR="00A94BF4" w:rsidRPr="007061F9">
              <w:rPr>
                <w:rFonts w:asciiTheme="majorHAnsi" w:hAnsiTheme="majorHAnsi" w:cs="Arial"/>
                <w:sz w:val="22"/>
              </w:rPr>
              <w:t>, D&amp;T</w:t>
            </w:r>
            <w:r w:rsidR="007061F9">
              <w:rPr>
                <w:rFonts w:asciiTheme="majorHAnsi" w:hAnsiTheme="majorHAnsi" w:cs="Arial"/>
                <w:sz w:val="22"/>
              </w:rPr>
              <w:t xml:space="preserve"> resource adaptations and </w:t>
            </w:r>
            <w:r>
              <w:rPr>
                <w:rFonts w:asciiTheme="majorHAnsi" w:hAnsiTheme="majorHAnsi" w:cs="Arial"/>
                <w:sz w:val="22"/>
              </w:rPr>
              <w:t xml:space="preserve">webinar </w:t>
            </w:r>
            <w:r w:rsidR="007061F9">
              <w:rPr>
                <w:rFonts w:asciiTheme="majorHAnsi" w:hAnsiTheme="majorHAnsi" w:cs="Arial"/>
                <w:sz w:val="22"/>
              </w:rPr>
              <w:t xml:space="preserve">activities, including </w:t>
            </w:r>
            <w:r w:rsidR="005A7718" w:rsidRPr="007061F9">
              <w:rPr>
                <w:rFonts w:asciiTheme="majorHAnsi" w:hAnsiTheme="majorHAnsi" w:cs="Arial"/>
                <w:sz w:val="22"/>
              </w:rPr>
              <w:t xml:space="preserve">tips from </w:t>
            </w:r>
            <w:r w:rsidR="007061F9">
              <w:rPr>
                <w:rFonts w:asciiTheme="majorHAnsi" w:hAnsiTheme="majorHAnsi" w:cs="Arial"/>
                <w:sz w:val="22"/>
              </w:rPr>
              <w:t>participants</w:t>
            </w:r>
            <w:r>
              <w:rPr>
                <w:rFonts w:asciiTheme="majorHAnsi" w:hAnsiTheme="majorHAnsi" w:cs="Arial"/>
                <w:sz w:val="22"/>
              </w:rPr>
              <w:t xml:space="preserve"> and speakers</w:t>
            </w:r>
            <w:r w:rsidR="007061F9">
              <w:rPr>
                <w:rFonts w:asciiTheme="majorHAnsi" w:hAnsiTheme="majorHAnsi" w:cs="Arial"/>
                <w:sz w:val="22"/>
              </w:rPr>
              <w:t>.</w:t>
            </w:r>
          </w:p>
          <w:p w14:paraId="00550A14" w14:textId="77777777" w:rsidR="002D4036" w:rsidRPr="009830FA" w:rsidRDefault="009525D8" w:rsidP="00FA4AA5">
            <w:pPr>
              <w:spacing w:before="60"/>
              <w:rPr>
                <w:rFonts w:asciiTheme="majorHAnsi" w:hAnsiTheme="majorHAnsi" w:cs="Arial"/>
                <w:sz w:val="22"/>
              </w:rPr>
            </w:pPr>
            <w:r w:rsidRPr="00FA4AA5">
              <w:rPr>
                <w:rFonts w:asciiTheme="majorHAnsi" w:hAnsiTheme="majorHAnsi"/>
                <w:b/>
                <w:bCs/>
                <w:sz w:val="22"/>
                <w:szCs w:val="22"/>
              </w:rPr>
              <w:t>Mary Jo Larson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Senior Consultant IFC</w:t>
            </w:r>
          </w:p>
        </w:tc>
      </w:tr>
      <w:tr w:rsidR="00AC4754" w:rsidRPr="009830FA" w14:paraId="0D9B4B83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/>
          </w:tcPr>
          <w:p w14:paraId="47B47493" w14:textId="77777777" w:rsidR="00AC4754" w:rsidRPr="009830FA" w:rsidRDefault="0097561C" w:rsidP="00E3180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09</w:t>
            </w:r>
            <w:r w:rsidR="00A94BF4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1B38D8">
              <w:rPr>
                <w:rFonts w:asciiTheme="majorHAnsi" w:hAnsiTheme="majorHAnsi"/>
                <w:b/>
                <w:sz w:val="22"/>
              </w:rPr>
              <w:t>50</w:t>
            </w:r>
            <w:r w:rsidR="007A44F1" w:rsidRPr="009830FA">
              <w:rPr>
                <w:rFonts w:asciiTheme="majorHAnsi" w:hAnsiTheme="majorHAnsi"/>
                <w:b/>
                <w:sz w:val="22"/>
              </w:rPr>
              <w:t xml:space="preserve"> - </w:t>
            </w:r>
            <w:r w:rsidR="00A94BF4" w:rsidRPr="009830FA">
              <w:rPr>
                <w:rFonts w:asciiTheme="majorHAnsi" w:hAnsiTheme="majorHAnsi"/>
                <w:b/>
                <w:sz w:val="22"/>
              </w:rPr>
              <w:t>1</w:t>
            </w:r>
            <w:r>
              <w:rPr>
                <w:rFonts w:asciiTheme="majorHAnsi" w:hAnsiTheme="majorHAnsi"/>
                <w:b/>
                <w:sz w:val="22"/>
              </w:rPr>
              <w:t>0</w:t>
            </w:r>
            <w:r w:rsidR="00691796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A94BF4" w:rsidRPr="009830FA">
              <w:rPr>
                <w:rFonts w:asciiTheme="majorHAnsi" w:hAnsiTheme="majorHAnsi"/>
                <w:b/>
                <w:sz w:val="22"/>
              </w:rPr>
              <w:t>00</w:t>
            </w:r>
          </w:p>
        </w:tc>
        <w:tc>
          <w:tcPr>
            <w:tcW w:w="7575" w:type="dxa"/>
            <w:shd w:val="clear" w:color="auto" w:fill="DBE5F1"/>
          </w:tcPr>
          <w:p w14:paraId="70E8F85A" w14:textId="77777777" w:rsidR="009A3A9D" w:rsidRPr="009830FA" w:rsidRDefault="009A3A9D" w:rsidP="009A3A9D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9830FA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Nex</w:t>
            </w:r>
            <w:r w:rsidR="00597094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t Steps </w:t>
            </w:r>
            <w:r w:rsidR="001B38D8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in </w:t>
            </w:r>
            <w:r w:rsidR="00597094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Preparation for June 23</w:t>
            </w:r>
            <w:r w:rsidRPr="009830FA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, 2021</w:t>
            </w:r>
          </w:p>
          <w:p w14:paraId="348C8371" w14:textId="77777777" w:rsidR="004D792E" w:rsidRPr="00597094" w:rsidRDefault="001153CD" w:rsidP="003C4C45">
            <w:pPr>
              <w:spacing w:before="60" w:after="60"/>
              <w:rPr>
                <w:rFonts w:asciiTheme="majorHAnsi" w:hAnsiTheme="majorHAnsi"/>
                <w:bCs/>
                <w:i/>
                <w:sz w:val="22"/>
                <w:szCs w:val="22"/>
              </w:rPr>
            </w:pPr>
            <w:r w:rsidRPr="001153CD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Boris Janjalia,</w:t>
            </w:r>
            <w:r w:rsidR="009E5FE3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</w:t>
            </w:r>
            <w:r w:rsidR="00CA3B70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CG Officer, ECA ESG Program</w:t>
            </w:r>
            <w:r w:rsidR="009E5FE3" w:rsidRPr="00FA4AA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</w:tbl>
    <w:p w14:paraId="19ACA2AE" w14:textId="57C35ADD" w:rsidR="003C4C45" w:rsidRDefault="003C4C45" w:rsidP="0064105F">
      <w:pPr>
        <w:ind w:left="270"/>
        <w:rPr>
          <w:rFonts w:asciiTheme="majorHAnsi" w:hAnsiTheme="majorHAnsi"/>
          <w:b/>
          <w:caps/>
          <w:sz w:val="22"/>
        </w:rPr>
      </w:pPr>
    </w:p>
    <w:p w14:paraId="7C81A493" w14:textId="1493A8DF" w:rsidR="00DD1950" w:rsidRDefault="00DD1950" w:rsidP="0064105F">
      <w:pPr>
        <w:ind w:left="270"/>
        <w:rPr>
          <w:rFonts w:asciiTheme="majorHAnsi" w:hAnsiTheme="majorHAnsi"/>
          <w:b/>
          <w:caps/>
          <w:sz w:val="22"/>
        </w:rPr>
      </w:pPr>
    </w:p>
    <w:p w14:paraId="7FC22416" w14:textId="55EF5F38" w:rsidR="00DD1950" w:rsidRDefault="00DD1950" w:rsidP="0064105F">
      <w:pPr>
        <w:ind w:left="270"/>
        <w:rPr>
          <w:rFonts w:asciiTheme="majorHAnsi" w:hAnsiTheme="majorHAnsi"/>
          <w:b/>
          <w:caps/>
          <w:sz w:val="22"/>
        </w:rPr>
      </w:pPr>
    </w:p>
    <w:p w14:paraId="5B24D1AA" w14:textId="2E8C5D4C" w:rsidR="00DD1950" w:rsidRDefault="00DD1950" w:rsidP="0064105F">
      <w:pPr>
        <w:ind w:left="270"/>
        <w:rPr>
          <w:rFonts w:asciiTheme="majorHAnsi" w:hAnsiTheme="majorHAnsi"/>
          <w:b/>
          <w:caps/>
          <w:sz w:val="22"/>
        </w:rPr>
      </w:pPr>
    </w:p>
    <w:p w14:paraId="59E3EDB9" w14:textId="77777777" w:rsidR="00DD1950" w:rsidRDefault="00DD1950" w:rsidP="0064105F">
      <w:pPr>
        <w:ind w:left="270"/>
        <w:rPr>
          <w:rFonts w:asciiTheme="majorHAnsi" w:hAnsiTheme="majorHAnsi"/>
          <w:b/>
          <w:caps/>
          <w:sz w:val="22"/>
        </w:rPr>
      </w:pPr>
    </w:p>
    <w:p w14:paraId="0EE9A8A2" w14:textId="77777777" w:rsidR="003C4C45" w:rsidRDefault="003C4C45" w:rsidP="003C4C45">
      <w:pPr>
        <w:spacing w:after="120"/>
        <w:rPr>
          <w:rFonts w:asciiTheme="majorHAnsi" w:hAnsiTheme="majorHAnsi"/>
          <w:b/>
          <w:caps/>
          <w:sz w:val="22"/>
        </w:rPr>
      </w:pPr>
      <w:r>
        <w:rPr>
          <w:rFonts w:asciiTheme="majorHAnsi" w:hAnsiTheme="majorHAnsi"/>
          <w:b/>
          <w:caps/>
          <w:sz w:val="22"/>
        </w:rPr>
        <w:lastRenderedPageBreak/>
        <w:t xml:space="preserve">II. </w:t>
      </w:r>
      <w:r w:rsidRPr="006F163A">
        <w:rPr>
          <w:rFonts w:asciiTheme="majorHAnsi" w:hAnsiTheme="majorHAnsi"/>
          <w:b/>
          <w:caps/>
          <w:sz w:val="22"/>
        </w:rPr>
        <w:t>“Ask the Expert” Series</w:t>
      </w:r>
    </w:p>
    <w:p w14:paraId="34F703E7" w14:textId="77777777" w:rsidR="00BF1950" w:rsidRDefault="003C4C45" w:rsidP="00BF1950">
      <w:pPr>
        <w:spacing w:before="120" w:after="120"/>
        <w:ind w:left="270"/>
        <w:rPr>
          <w:rFonts w:asciiTheme="majorHAnsi" w:hAnsiTheme="majorHAnsi"/>
          <w:sz w:val="22"/>
          <w:szCs w:val="22"/>
        </w:rPr>
      </w:pPr>
      <w:r w:rsidRPr="00D93718">
        <w:rPr>
          <w:rFonts w:asciiTheme="majorHAnsi" w:hAnsiTheme="majorHAnsi"/>
          <w:b/>
          <w:sz w:val="22"/>
        </w:rPr>
        <w:t xml:space="preserve">Activity </w:t>
      </w:r>
      <w:r w:rsidR="00A93E55">
        <w:rPr>
          <w:rFonts w:asciiTheme="majorHAnsi" w:hAnsiTheme="majorHAnsi"/>
          <w:b/>
          <w:sz w:val="22"/>
        </w:rPr>
        <w:t xml:space="preserve">1 </w:t>
      </w:r>
      <w:r w:rsidRPr="00D93718">
        <w:rPr>
          <w:rFonts w:asciiTheme="majorHAnsi" w:hAnsiTheme="majorHAnsi"/>
          <w:b/>
          <w:sz w:val="22"/>
        </w:rPr>
        <w:t xml:space="preserve">for June </w:t>
      </w:r>
      <w:r w:rsidR="00970DE3">
        <w:rPr>
          <w:rFonts w:asciiTheme="majorHAnsi" w:hAnsiTheme="majorHAnsi"/>
          <w:b/>
          <w:sz w:val="22"/>
        </w:rPr>
        <w:t>18</w:t>
      </w:r>
      <w:r w:rsidR="00F52B95">
        <w:rPr>
          <w:rFonts w:asciiTheme="majorHAnsi" w:hAnsiTheme="majorHAnsi"/>
          <w:b/>
          <w:sz w:val="22"/>
        </w:rPr>
        <w:t>,</w:t>
      </w:r>
      <w:r w:rsidR="00970DE3">
        <w:rPr>
          <w:rFonts w:asciiTheme="majorHAnsi" w:hAnsiTheme="majorHAnsi"/>
          <w:b/>
          <w:sz w:val="22"/>
        </w:rPr>
        <w:t xml:space="preserve"> </w:t>
      </w:r>
      <w:r w:rsidR="005423F0">
        <w:rPr>
          <w:rFonts w:asciiTheme="majorHAnsi" w:hAnsiTheme="majorHAnsi"/>
          <w:b/>
          <w:sz w:val="22"/>
        </w:rPr>
        <w:t>10</w:t>
      </w:r>
      <w:r w:rsidR="00087515">
        <w:rPr>
          <w:rFonts w:asciiTheme="majorHAnsi" w:hAnsiTheme="majorHAnsi"/>
          <w:b/>
          <w:sz w:val="22"/>
        </w:rPr>
        <w:t>-11</w:t>
      </w:r>
      <w:r w:rsidR="001708D2">
        <w:rPr>
          <w:rFonts w:asciiTheme="majorHAnsi" w:hAnsiTheme="majorHAnsi"/>
          <w:b/>
          <w:sz w:val="22"/>
        </w:rPr>
        <w:t xml:space="preserve"> am</w:t>
      </w:r>
      <w:r w:rsidR="00470D5B">
        <w:rPr>
          <w:rFonts w:asciiTheme="majorHAnsi" w:hAnsiTheme="majorHAnsi"/>
          <w:b/>
          <w:sz w:val="22"/>
        </w:rPr>
        <w:t xml:space="preserve"> CET</w:t>
      </w:r>
      <w:r w:rsidRPr="00470D5B">
        <w:rPr>
          <w:rFonts w:asciiTheme="majorHAnsi" w:hAnsiTheme="majorHAnsi"/>
          <w:sz w:val="22"/>
          <w:shd w:val="clear" w:color="auto" w:fill="FFFFFF" w:themeFill="background1"/>
        </w:rPr>
        <w:t>:</w:t>
      </w:r>
      <w:r w:rsidRPr="00470D5B">
        <w:rPr>
          <w:rFonts w:asciiTheme="majorHAnsi" w:hAnsiTheme="majorHAnsi"/>
          <w:b/>
          <w:sz w:val="22"/>
          <w:shd w:val="clear" w:color="auto" w:fill="FFFFFF" w:themeFill="background1"/>
        </w:rPr>
        <w:t xml:space="preserve">  </w:t>
      </w:r>
      <w:r w:rsidRPr="006F163A">
        <w:rPr>
          <w:rFonts w:asciiTheme="majorHAnsi" w:hAnsiTheme="majorHAnsi"/>
          <w:sz w:val="22"/>
        </w:rPr>
        <w:t xml:space="preserve">All participants are invited to sign up for a one-hour </w:t>
      </w:r>
      <w:r w:rsidR="00B54BC9">
        <w:rPr>
          <w:rFonts w:asciiTheme="majorHAnsi" w:hAnsiTheme="majorHAnsi"/>
          <w:sz w:val="22"/>
        </w:rPr>
        <w:t xml:space="preserve">practical </w:t>
      </w:r>
      <w:r>
        <w:rPr>
          <w:rFonts w:asciiTheme="majorHAnsi" w:hAnsiTheme="majorHAnsi"/>
          <w:sz w:val="22"/>
        </w:rPr>
        <w:t xml:space="preserve">session on </w:t>
      </w:r>
      <w:r w:rsidR="005F40FF" w:rsidRPr="005F40FF">
        <w:rPr>
          <w:rFonts w:asciiTheme="majorHAnsi" w:hAnsiTheme="majorHAnsi"/>
          <w:sz w:val="22"/>
          <w:u w:val="single"/>
        </w:rPr>
        <w:t>Reporting on</w:t>
      </w:r>
      <w:r w:rsidR="005F40FF">
        <w:rPr>
          <w:rFonts w:asciiTheme="majorHAnsi" w:hAnsiTheme="majorHAnsi"/>
          <w:sz w:val="22"/>
        </w:rPr>
        <w:t xml:space="preserve"> </w:t>
      </w:r>
      <w:r w:rsidR="005F40FF">
        <w:rPr>
          <w:rFonts w:asciiTheme="majorHAnsi" w:hAnsiTheme="majorHAnsi"/>
          <w:sz w:val="22"/>
          <w:u w:val="single"/>
        </w:rPr>
        <w:t>Strategy and Sustainability</w:t>
      </w:r>
      <w:r>
        <w:rPr>
          <w:rFonts w:asciiTheme="majorHAnsi" w:hAnsiTheme="majorHAnsi"/>
          <w:sz w:val="22"/>
        </w:rPr>
        <w:t xml:space="preserve"> with </w:t>
      </w:r>
      <w:r w:rsidR="005F40FF">
        <w:rPr>
          <w:rFonts w:asciiTheme="majorHAnsi" w:hAnsiTheme="majorHAnsi"/>
          <w:sz w:val="22"/>
        </w:rPr>
        <w:t>Susan Blesener</w:t>
      </w:r>
      <w:r>
        <w:rPr>
          <w:rFonts w:asciiTheme="majorHAnsi" w:hAnsiTheme="majorHAnsi"/>
          <w:sz w:val="22"/>
        </w:rPr>
        <w:t xml:space="preserve">.  </w:t>
      </w:r>
      <w:r w:rsidRPr="006F163A">
        <w:rPr>
          <w:rFonts w:asciiTheme="majorHAnsi" w:hAnsiTheme="majorHAnsi"/>
          <w:sz w:val="22"/>
        </w:rPr>
        <w:t>[</w:t>
      </w:r>
      <w:r w:rsidR="00E33AEC">
        <w:rPr>
          <w:rFonts w:asciiTheme="majorHAnsi" w:hAnsiTheme="majorHAnsi"/>
          <w:sz w:val="22"/>
        </w:rPr>
        <w:t xml:space="preserve">Please sign up for the session by sending </w:t>
      </w:r>
      <w:r w:rsidR="007E28E0">
        <w:rPr>
          <w:rFonts w:asciiTheme="majorHAnsi" w:hAnsiTheme="majorHAnsi"/>
          <w:sz w:val="22"/>
        </w:rPr>
        <w:t xml:space="preserve">an </w:t>
      </w:r>
      <w:r w:rsidR="00E33AEC">
        <w:rPr>
          <w:rFonts w:asciiTheme="majorHAnsi" w:hAnsiTheme="majorHAnsi"/>
          <w:sz w:val="22"/>
        </w:rPr>
        <w:t xml:space="preserve">email to Mirjana Djukic at </w:t>
      </w:r>
      <w:hyperlink r:id="rId19" w:history="1">
        <w:r w:rsidR="00E33AEC" w:rsidRPr="00DD25A0">
          <w:rPr>
            <w:rStyle w:val="Hyperlink"/>
            <w:rFonts w:asciiTheme="majorHAnsi" w:hAnsiTheme="majorHAnsi"/>
            <w:sz w:val="22"/>
          </w:rPr>
          <w:t>mdjukic@ifc.org</w:t>
        </w:r>
      </w:hyperlink>
      <w:r w:rsidR="00E33AEC">
        <w:rPr>
          <w:rFonts w:asciiTheme="majorHAnsi" w:hAnsiTheme="majorHAnsi"/>
          <w:sz w:val="22"/>
        </w:rPr>
        <w:t xml:space="preserve"> by June </w:t>
      </w:r>
      <w:r w:rsidR="0075089E">
        <w:rPr>
          <w:rFonts w:asciiTheme="majorHAnsi" w:hAnsiTheme="majorHAnsi"/>
          <w:sz w:val="22"/>
        </w:rPr>
        <w:t>16</w:t>
      </w:r>
      <w:r w:rsidRPr="006F163A">
        <w:rPr>
          <w:rFonts w:asciiTheme="majorHAnsi" w:hAnsiTheme="majorHAnsi"/>
          <w:sz w:val="22"/>
          <w:szCs w:val="22"/>
        </w:rPr>
        <w:t xml:space="preserve">].  </w:t>
      </w:r>
    </w:p>
    <w:p w14:paraId="035D7F7A" w14:textId="77777777" w:rsidR="009E5FE3" w:rsidRPr="002F68E9" w:rsidRDefault="00A93E55" w:rsidP="00BF1950">
      <w:pPr>
        <w:spacing w:before="120" w:after="120"/>
        <w:ind w:left="270"/>
        <w:rPr>
          <w:rFonts w:asciiTheme="majorHAnsi" w:hAnsiTheme="majorHAnsi"/>
          <w:sz w:val="22"/>
          <w:szCs w:val="22"/>
        </w:rPr>
      </w:pPr>
      <w:r w:rsidRPr="00D93718">
        <w:rPr>
          <w:rFonts w:asciiTheme="majorHAnsi" w:hAnsiTheme="majorHAnsi"/>
          <w:b/>
          <w:sz w:val="22"/>
        </w:rPr>
        <w:t xml:space="preserve">Activity </w:t>
      </w:r>
      <w:r>
        <w:rPr>
          <w:rFonts w:asciiTheme="majorHAnsi" w:hAnsiTheme="majorHAnsi"/>
          <w:b/>
          <w:sz w:val="22"/>
        </w:rPr>
        <w:t xml:space="preserve">2 </w:t>
      </w:r>
      <w:r w:rsidRPr="00D93718">
        <w:rPr>
          <w:rFonts w:asciiTheme="majorHAnsi" w:hAnsiTheme="majorHAnsi"/>
          <w:b/>
          <w:sz w:val="22"/>
        </w:rPr>
        <w:t xml:space="preserve">for June </w:t>
      </w:r>
      <w:r w:rsidR="00970DE3">
        <w:rPr>
          <w:rFonts w:asciiTheme="majorHAnsi" w:hAnsiTheme="majorHAnsi"/>
          <w:b/>
          <w:sz w:val="22"/>
        </w:rPr>
        <w:t>21</w:t>
      </w:r>
      <w:r w:rsidR="00F52B95">
        <w:rPr>
          <w:rFonts w:asciiTheme="majorHAnsi" w:hAnsiTheme="majorHAnsi"/>
          <w:b/>
          <w:sz w:val="22"/>
        </w:rPr>
        <w:t>, 10</w:t>
      </w:r>
      <w:r w:rsidR="00087515">
        <w:rPr>
          <w:rFonts w:asciiTheme="majorHAnsi" w:hAnsiTheme="majorHAnsi"/>
          <w:b/>
          <w:sz w:val="22"/>
        </w:rPr>
        <w:t>-11</w:t>
      </w:r>
      <w:r w:rsidR="00F52B95">
        <w:rPr>
          <w:rFonts w:asciiTheme="majorHAnsi" w:hAnsiTheme="majorHAnsi"/>
          <w:b/>
          <w:sz w:val="22"/>
        </w:rPr>
        <w:t xml:space="preserve"> am CE</w:t>
      </w:r>
      <w:r w:rsidR="00F52B95" w:rsidRPr="00C62060">
        <w:rPr>
          <w:rFonts w:asciiTheme="majorHAnsi" w:hAnsiTheme="majorHAnsi"/>
          <w:b/>
          <w:sz w:val="22"/>
        </w:rPr>
        <w:t>T</w:t>
      </w:r>
      <w:r w:rsidRPr="00C62060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b/>
          <w:sz w:val="22"/>
        </w:rPr>
        <w:t xml:space="preserve">  </w:t>
      </w:r>
      <w:r w:rsidRPr="006F163A">
        <w:rPr>
          <w:rFonts w:asciiTheme="majorHAnsi" w:hAnsiTheme="majorHAnsi"/>
          <w:sz w:val="22"/>
        </w:rPr>
        <w:t xml:space="preserve">All participants are invited to sign up for a one-hour </w:t>
      </w:r>
      <w:r w:rsidR="00B54BC9">
        <w:rPr>
          <w:rFonts w:asciiTheme="majorHAnsi" w:hAnsiTheme="majorHAnsi"/>
          <w:sz w:val="22"/>
        </w:rPr>
        <w:t xml:space="preserve">practical </w:t>
      </w:r>
      <w:r>
        <w:rPr>
          <w:rFonts w:asciiTheme="majorHAnsi" w:hAnsiTheme="majorHAnsi"/>
          <w:sz w:val="22"/>
        </w:rPr>
        <w:t xml:space="preserve">session on </w:t>
      </w:r>
      <w:r w:rsidR="00E54214">
        <w:rPr>
          <w:rFonts w:asciiTheme="majorHAnsi" w:hAnsiTheme="majorHAnsi"/>
          <w:sz w:val="22"/>
          <w:u w:val="single"/>
        </w:rPr>
        <w:t xml:space="preserve">Analyzing an Annual Report with the D&amp;T Gap Analyzes Tool </w:t>
      </w:r>
      <w:r>
        <w:rPr>
          <w:rFonts w:asciiTheme="majorHAnsi" w:hAnsiTheme="majorHAnsi"/>
          <w:sz w:val="22"/>
        </w:rPr>
        <w:t xml:space="preserve">with Erik Vermullen.  </w:t>
      </w:r>
      <w:r w:rsidRPr="006F163A">
        <w:rPr>
          <w:rFonts w:asciiTheme="majorHAnsi" w:hAnsiTheme="majorHAnsi"/>
          <w:sz w:val="22"/>
        </w:rPr>
        <w:t>[</w:t>
      </w:r>
      <w:r w:rsidR="0075089E">
        <w:rPr>
          <w:rFonts w:asciiTheme="majorHAnsi" w:hAnsiTheme="majorHAnsi"/>
          <w:sz w:val="22"/>
        </w:rPr>
        <w:t>Please sign up for t</w:t>
      </w:r>
      <w:r w:rsidR="007E28E0">
        <w:rPr>
          <w:rFonts w:asciiTheme="majorHAnsi" w:hAnsiTheme="majorHAnsi"/>
          <w:sz w:val="22"/>
        </w:rPr>
        <w:t>h</w:t>
      </w:r>
      <w:r w:rsidR="0075089E">
        <w:rPr>
          <w:rFonts w:asciiTheme="majorHAnsi" w:hAnsiTheme="majorHAnsi"/>
          <w:sz w:val="22"/>
        </w:rPr>
        <w:t>e session by sending</w:t>
      </w:r>
      <w:r w:rsidR="007E28E0">
        <w:rPr>
          <w:rFonts w:asciiTheme="majorHAnsi" w:hAnsiTheme="majorHAnsi"/>
          <w:sz w:val="22"/>
        </w:rPr>
        <w:t xml:space="preserve"> an</w:t>
      </w:r>
      <w:r w:rsidR="0075089E">
        <w:rPr>
          <w:rFonts w:asciiTheme="majorHAnsi" w:hAnsiTheme="majorHAnsi"/>
          <w:sz w:val="22"/>
        </w:rPr>
        <w:t xml:space="preserve"> email to Mirjana Djukic at </w:t>
      </w:r>
      <w:hyperlink r:id="rId20" w:history="1">
        <w:r w:rsidR="0075089E" w:rsidRPr="00DD25A0">
          <w:rPr>
            <w:rStyle w:val="Hyperlink"/>
            <w:rFonts w:asciiTheme="majorHAnsi" w:hAnsiTheme="majorHAnsi"/>
            <w:sz w:val="22"/>
          </w:rPr>
          <w:t>mdjukic@ifc.org</w:t>
        </w:r>
      </w:hyperlink>
      <w:r w:rsidR="0075089E">
        <w:rPr>
          <w:rFonts w:asciiTheme="majorHAnsi" w:hAnsiTheme="majorHAnsi"/>
          <w:sz w:val="22"/>
        </w:rPr>
        <w:t xml:space="preserve"> by June 1</w:t>
      </w:r>
      <w:r w:rsidR="007E28E0">
        <w:rPr>
          <w:rFonts w:asciiTheme="majorHAnsi" w:hAnsiTheme="majorHAnsi"/>
          <w:sz w:val="22"/>
        </w:rPr>
        <w:t>8</w:t>
      </w:r>
      <w:r w:rsidRPr="006F163A">
        <w:rPr>
          <w:rFonts w:asciiTheme="majorHAnsi" w:hAnsiTheme="majorHAnsi"/>
          <w:sz w:val="22"/>
          <w:szCs w:val="22"/>
        </w:rPr>
        <w:t xml:space="preserve">].  </w:t>
      </w:r>
    </w:p>
    <w:tbl>
      <w:tblPr>
        <w:tblW w:w="10543" w:type="dxa"/>
        <w:jc w:val="center"/>
        <w:tblCellSpacing w:w="72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52"/>
        <w:gridCol w:w="7791"/>
      </w:tblGrid>
      <w:tr w:rsidR="00AC4754" w:rsidRPr="009830FA" w14:paraId="79507B7F" w14:textId="77777777">
        <w:trPr>
          <w:trHeight w:val="216"/>
          <w:tblCellSpacing w:w="72" w:type="dxa"/>
          <w:jc w:val="center"/>
        </w:trPr>
        <w:tc>
          <w:tcPr>
            <w:tcW w:w="10255" w:type="dxa"/>
            <w:gridSpan w:val="2"/>
            <w:shd w:val="clear" w:color="auto" w:fill="002060"/>
          </w:tcPr>
          <w:p w14:paraId="34F01488" w14:textId="77777777" w:rsidR="00AC4754" w:rsidRPr="009830FA" w:rsidRDefault="00AC4754" w:rsidP="00AC4754">
            <w:pPr>
              <w:spacing w:before="40" w:after="80"/>
              <w:jc w:val="center"/>
              <w:rPr>
                <w:rFonts w:asciiTheme="majorHAnsi" w:hAnsiTheme="majorHAnsi"/>
                <w:b/>
                <w:color w:val="FFFFFF"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  <w:szCs w:val="22"/>
              </w:rPr>
              <w:br w:type="page"/>
            </w:r>
            <w:r w:rsidRPr="009830FA">
              <w:rPr>
                <w:rFonts w:asciiTheme="majorHAnsi" w:hAnsiTheme="majorHAnsi"/>
                <w:b/>
                <w:color w:val="FFFFFF"/>
                <w:sz w:val="22"/>
                <w:szCs w:val="22"/>
                <w:shd w:val="clear" w:color="auto" w:fill="002060"/>
              </w:rPr>
              <w:t>Wednesday– June 23, 2021</w:t>
            </w:r>
          </w:p>
        </w:tc>
      </w:tr>
      <w:tr w:rsidR="00854E8B" w:rsidRPr="009830FA" w14:paraId="31C01DAD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1F9EAC07" w14:textId="77777777" w:rsidR="00854E8B" w:rsidRPr="009830FA" w:rsidRDefault="000B3757" w:rsidP="00E3180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4D792E"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854E8B" w:rsidRPr="009830FA">
              <w:rPr>
                <w:rFonts w:asciiTheme="majorHAnsi" w:hAnsiTheme="majorHAnsi"/>
                <w:b/>
                <w:sz w:val="22"/>
              </w:rPr>
              <w:t>0 - 0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="00854E8B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A9494E">
              <w:rPr>
                <w:rFonts w:asciiTheme="majorHAnsi" w:hAnsiTheme="majorHAnsi"/>
                <w:b/>
                <w:sz w:val="22"/>
              </w:rPr>
              <w:t>3</w:t>
            </w:r>
            <w:r w:rsidR="00854E8B" w:rsidRPr="009830FA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253A49CF" w14:textId="77777777" w:rsidR="00FA4AA5" w:rsidRDefault="004D792E" w:rsidP="002F68E9">
            <w:pPr>
              <w:pStyle w:val="Default"/>
              <w:spacing w:before="120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FA4AA5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Policy Support for </w:t>
            </w:r>
            <w:r w:rsidR="00781823" w:rsidRPr="00FA4AA5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ESG Regulation</w:t>
            </w:r>
          </w:p>
          <w:p w14:paraId="482E45B1" w14:textId="77777777" w:rsidR="00FA4AA5" w:rsidRPr="002917E7" w:rsidRDefault="002917E7" w:rsidP="002F68E9">
            <w:pPr>
              <w:pStyle w:val="Default"/>
              <w:spacing w:before="120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  <w:r w:rsidRPr="002917E7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>Panel Discussion:</w:t>
            </w:r>
            <w:r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 xml:space="preserve">  </w:t>
            </w:r>
            <w:r w:rsidR="00FA4AA5"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How do stock exchanges and regulators</w:t>
            </w:r>
            <w:r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 xml:space="preserve"> help to increase and</w:t>
            </w:r>
            <w:r w:rsidR="00547398"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 xml:space="preserve"> support responsible investments in emerg</w:t>
            </w:r>
            <w:r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 xml:space="preserve">ing </w:t>
            </w:r>
            <w:r w:rsidR="00ED735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markets</w:t>
            </w:r>
            <w:r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 xml:space="preserve">?  </w:t>
            </w:r>
            <w:r w:rsidR="00ED735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S</w:t>
            </w:r>
            <w:r w:rsidR="00547398"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uccesse</w:t>
            </w:r>
            <w:r w:rsidR="00ED735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s &amp; challenges</w:t>
            </w:r>
            <w:r w:rsidR="00547398" w:rsidRPr="002917E7">
              <w:rPr>
                <w:rFonts w:asciiTheme="majorHAnsi" w:hAnsiTheme="majorHAnsi"/>
                <w:bCs/>
                <w:color w:val="auto"/>
                <w:sz w:val="22"/>
                <w:szCs w:val="22"/>
              </w:rPr>
              <w:t>?</w:t>
            </w:r>
          </w:p>
          <w:p w14:paraId="323479AF" w14:textId="77777777" w:rsidR="002F68E9" w:rsidRPr="0064105F" w:rsidRDefault="004D792E">
            <w:pPr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2F68E9">
              <w:rPr>
                <w:rFonts w:asciiTheme="majorHAnsi" w:hAnsiTheme="majorHAnsi"/>
                <w:b/>
                <w:bCs/>
                <w:sz w:val="22"/>
                <w:szCs w:val="22"/>
              </w:rPr>
              <w:t>Moderator:</w:t>
            </w:r>
            <w:r w:rsidRPr="009830FA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  <w:r w:rsidR="00C62060" w:rsidRPr="001153CD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Ralitza Germanova</w:t>
            </w:r>
            <w:r w:rsidR="00C62060" w:rsidRPr="00AA64BA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r w:rsidR="00C62060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>Disclosure and Transparency Program Lead, IFC</w:t>
            </w:r>
          </w:p>
          <w:p w14:paraId="26CEE6E7" w14:textId="77777777" w:rsidR="004D38F0" w:rsidRDefault="002F68E9" w:rsidP="00382E87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Panel Members: </w:t>
            </w:r>
          </w:p>
          <w:p w14:paraId="4DC413EB" w14:textId="77777777" w:rsidR="004D38F0" w:rsidRDefault="002F68E9" w:rsidP="00382E87">
            <w:pPr>
              <w:spacing w:before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>Anthony</w:t>
            </w:r>
            <w:r w:rsidR="00FA4AA5"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Miller</w:t>
            </w:r>
            <w:r w:rsidR="004D38F0">
              <w:rPr>
                <w:rFonts w:asciiTheme="majorHAnsi" w:hAnsiTheme="majorHAnsi"/>
                <w:b/>
                <w:bCs/>
                <w:sz w:val="22"/>
                <w:szCs w:val="22"/>
              </w:rPr>
              <w:t>, UN Sustainable Stock Exchanges Initiative</w:t>
            </w:r>
            <w:r w:rsidR="0039594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14:paraId="222CF502" w14:textId="53884EF9" w:rsidR="00AA1F3E" w:rsidRPr="009525D8" w:rsidRDefault="002F68E9" w:rsidP="00382E87">
            <w:pPr>
              <w:spacing w:before="60"/>
              <w:rPr>
                <w:rFonts w:asciiTheme="majorHAnsi" w:hAnsiTheme="majorHAnsi"/>
                <w:b/>
                <w:sz w:val="22"/>
                <w:szCs w:val="22"/>
              </w:rPr>
            </w:pPr>
            <w:r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>Alex</w:t>
            </w:r>
            <w:r w:rsidR="004D38F0">
              <w:rPr>
                <w:rFonts w:asciiTheme="majorHAnsi" w:hAnsiTheme="majorHAnsi"/>
                <w:b/>
                <w:bCs/>
                <w:sz w:val="22"/>
                <w:szCs w:val="22"/>
              </w:rPr>
              <w:t>ander</w:t>
            </w:r>
            <w:r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23454E">
              <w:rPr>
                <w:rFonts w:asciiTheme="majorHAnsi" w:hAnsiTheme="majorHAnsi"/>
                <w:b/>
                <w:bCs/>
                <w:sz w:val="22"/>
                <w:szCs w:val="22"/>
              </w:rPr>
              <w:t>Berg</w:t>
            </w:r>
            <w:r w:rsidR="004D38F0">
              <w:rPr>
                <w:rFonts w:asciiTheme="majorHAnsi" w:hAnsiTheme="majorHAnsi"/>
                <w:b/>
                <w:bCs/>
                <w:sz w:val="22"/>
                <w:szCs w:val="22"/>
              </w:rPr>
              <w:t>, World Bank</w:t>
            </w:r>
            <w:r w:rsidR="00575EC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4E8B" w:rsidRPr="009830FA" w14:paraId="0859C132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323F486B" w14:textId="77777777" w:rsidR="00854E8B" w:rsidRPr="009830FA" w:rsidRDefault="00854E8B" w:rsidP="00781823">
            <w:pPr>
              <w:spacing w:before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7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A9494E">
              <w:rPr>
                <w:rFonts w:asciiTheme="majorHAnsi" w:hAnsiTheme="majorHAnsi"/>
                <w:b/>
                <w:sz w:val="22"/>
              </w:rPr>
              <w:t>3</w:t>
            </w: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691796" w:rsidRPr="009830FA">
              <w:rPr>
                <w:rFonts w:asciiTheme="majorHAnsi" w:hAnsiTheme="majorHAnsi"/>
                <w:b/>
                <w:sz w:val="22"/>
              </w:rPr>
              <w:t xml:space="preserve"> - 0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691796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A9494E">
              <w:rPr>
                <w:rFonts w:asciiTheme="majorHAnsi" w:hAnsiTheme="majorHAnsi"/>
                <w:b/>
                <w:sz w:val="22"/>
              </w:rPr>
              <w:t>1</w:t>
            </w:r>
            <w:r w:rsidR="00D551E0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40CA1127" w14:textId="77777777" w:rsidR="00FA4AA5" w:rsidRDefault="00D93E3A" w:rsidP="00BF1950">
            <w:pPr>
              <w:spacing w:before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REPORTING ON </w:t>
            </w:r>
            <w:r w:rsidR="00CC5934" w:rsidRPr="009830FA">
              <w:rPr>
                <w:rFonts w:asciiTheme="majorHAnsi" w:hAnsiTheme="majorHAnsi"/>
                <w:b/>
                <w:sz w:val="22"/>
                <w:szCs w:val="22"/>
              </w:rPr>
              <w:t xml:space="preserve">PERFORMANCE </w:t>
            </w:r>
          </w:p>
          <w:p w14:paraId="2300EEAB" w14:textId="77777777" w:rsidR="002917E7" w:rsidRDefault="00CC5934" w:rsidP="00BF1950">
            <w:pPr>
              <w:spacing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917E7">
              <w:rPr>
                <w:rFonts w:asciiTheme="majorHAnsi" w:hAnsiTheme="majorHAnsi"/>
                <w:b/>
                <w:sz w:val="22"/>
                <w:szCs w:val="22"/>
              </w:rPr>
              <w:t xml:space="preserve">Attracting capital through </w:t>
            </w:r>
            <w:r w:rsidR="002917E7"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>Disclosure of a Company’s P</w:t>
            </w:r>
            <w:r w:rsidRPr="002917E7">
              <w:rPr>
                <w:rFonts w:asciiTheme="majorHAnsi" w:hAnsiTheme="majorHAnsi"/>
                <w:b/>
                <w:bCs/>
                <w:sz w:val="22"/>
                <w:szCs w:val="22"/>
              </w:rPr>
              <w:t>erformance</w:t>
            </w:r>
          </w:p>
          <w:p w14:paraId="75D0E65E" w14:textId="77777777" w:rsidR="00097E8B" w:rsidRPr="002917E7" w:rsidRDefault="00097E8B" w:rsidP="00CC5934">
            <w:pPr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Roadmap to Sustainable Finance</w:t>
            </w:r>
          </w:p>
          <w:p w14:paraId="6A229297" w14:textId="77777777" w:rsidR="000E0C00" w:rsidRDefault="002917E7" w:rsidP="000E0C00">
            <w:pPr>
              <w:spacing w:before="60" w:after="6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Transparent disclosure of financial and ESG performance</w:t>
            </w:r>
            <w:r w:rsidR="00CC5934" w:rsidRPr="009830FA">
              <w:rPr>
                <w:rFonts w:asciiTheme="majorHAnsi" w:hAnsiTheme="majorHAnsi"/>
                <w:bCs/>
                <w:sz w:val="22"/>
                <w:szCs w:val="22"/>
              </w:rPr>
              <w:t xml:space="preserve"> is critical to attract capital from international investors. </w:t>
            </w:r>
            <w:r w:rsidR="00DA208B">
              <w:rPr>
                <w:rFonts w:asciiTheme="majorHAnsi" w:hAnsiTheme="majorHAnsi"/>
                <w:bCs/>
                <w:sz w:val="22"/>
                <w:szCs w:val="22"/>
              </w:rPr>
              <w:t xml:space="preserve"> How best to communicate high quality performance indicators? What are the emerging </w:t>
            </w:r>
            <w:r w:rsidR="00DA208B" w:rsidRPr="009830FA">
              <w:rPr>
                <w:rFonts w:asciiTheme="majorHAnsi" w:hAnsiTheme="majorHAnsi"/>
                <w:bCs/>
                <w:sz w:val="22"/>
                <w:szCs w:val="22"/>
              </w:rPr>
              <w:t xml:space="preserve">opportunities? </w:t>
            </w:r>
            <w:r w:rsidR="00DA208B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4B5EA12B" w14:textId="77777777" w:rsidR="00C127FB" w:rsidRPr="00D93E3A" w:rsidRDefault="00CC5934" w:rsidP="004A4D30">
            <w:pPr>
              <w:spacing w:before="60"/>
              <w:rPr>
                <w:rFonts w:asciiTheme="majorHAnsi" w:hAnsiTheme="majorHAnsi"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sz w:val="22"/>
                <w:szCs w:val="22"/>
              </w:rPr>
              <w:t xml:space="preserve">Jerome Lavigne-Deville, </w:t>
            </w:r>
            <w:r w:rsidR="002917E7">
              <w:rPr>
                <w:rFonts w:asciiTheme="majorHAnsi" w:hAnsiTheme="majorHAnsi"/>
                <w:sz w:val="22"/>
                <w:szCs w:val="22"/>
              </w:rPr>
              <w:t>Senior Consultant</w:t>
            </w:r>
            <w:r w:rsidR="00C62060">
              <w:rPr>
                <w:rFonts w:asciiTheme="majorHAnsi" w:hAnsiTheme="majorHAnsi"/>
                <w:sz w:val="22"/>
                <w:szCs w:val="22"/>
              </w:rPr>
              <w:t>, IFC</w:t>
            </w:r>
          </w:p>
        </w:tc>
      </w:tr>
      <w:tr w:rsidR="00BF1950" w:rsidRPr="009830FA" w14:paraId="6816D63D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76555515" w14:textId="77777777" w:rsidR="00BF1950" w:rsidRPr="009830FA" w:rsidRDefault="00BF1950" w:rsidP="00F00941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08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>
              <w:rPr>
                <w:rFonts w:asciiTheme="majorHAnsi" w:hAnsiTheme="majorHAnsi"/>
                <w:b/>
                <w:sz w:val="22"/>
              </w:rPr>
              <w:t>1</w:t>
            </w:r>
            <w:r w:rsidRPr="009830FA">
              <w:rPr>
                <w:rFonts w:asciiTheme="majorHAnsi" w:hAnsiTheme="majorHAnsi"/>
                <w:b/>
                <w:sz w:val="22"/>
              </w:rPr>
              <w:t xml:space="preserve">0 – </w:t>
            </w:r>
            <w:r>
              <w:rPr>
                <w:rFonts w:asciiTheme="majorHAnsi" w:hAnsiTheme="majorHAnsi"/>
                <w:b/>
                <w:sz w:val="22"/>
              </w:rPr>
              <w:t>08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>
              <w:rPr>
                <w:rFonts w:asciiTheme="majorHAnsi" w:hAnsiTheme="majorHAnsi"/>
                <w:b/>
                <w:sz w:val="22"/>
              </w:rPr>
              <w:t>2</w:t>
            </w: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42ADF021" w14:textId="77777777" w:rsidR="00BF1950" w:rsidRDefault="00BF1950" w:rsidP="00BF19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Quiet Transformation of Disclosure and Transparency</w:t>
            </w:r>
          </w:p>
          <w:p w14:paraId="25E1F23D" w14:textId="77777777" w:rsidR="00BF1950" w:rsidRPr="009830FA" w:rsidRDefault="00BF1950" w:rsidP="00F61170">
            <w:pPr>
              <w:spacing w:before="60"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Erik P.M. Vermeulen, </w:t>
            </w:r>
            <w:r w:rsidRPr="00ED7357">
              <w:rPr>
                <w:rFonts w:asciiTheme="majorHAnsi" w:hAnsiTheme="majorHAnsi"/>
                <w:sz w:val="22"/>
                <w:szCs w:val="22"/>
              </w:rPr>
              <w:t>Tilburg University Professor &amp; Senior Legal Counsel, Signify</w:t>
            </w:r>
          </w:p>
        </w:tc>
      </w:tr>
      <w:tr w:rsidR="00C127FB" w:rsidRPr="009830FA" w14:paraId="3647AC20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4F25D852" w14:textId="77777777" w:rsidR="00C127FB" w:rsidRPr="009830FA" w:rsidRDefault="00C127FB" w:rsidP="0078182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BF1950">
              <w:rPr>
                <w:rFonts w:asciiTheme="majorHAnsi" w:hAnsiTheme="majorHAnsi"/>
                <w:b/>
                <w:sz w:val="22"/>
              </w:rPr>
              <w:t>:2</w:t>
            </w:r>
            <w:r>
              <w:rPr>
                <w:rFonts w:asciiTheme="majorHAnsi" w:hAnsiTheme="majorHAnsi"/>
                <w:b/>
                <w:sz w:val="22"/>
              </w:rPr>
              <w:t>0 – 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="00BF1950">
              <w:rPr>
                <w:rFonts w:asciiTheme="majorHAnsi" w:hAnsiTheme="majorHAnsi"/>
                <w:b/>
                <w:sz w:val="22"/>
              </w:rPr>
              <w:t>:3</w:t>
            </w:r>
            <w:r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79E8ACC9" w14:textId="77777777" w:rsidR="0064105F" w:rsidRDefault="007A1A9B" w:rsidP="00BF1950">
            <w:pPr>
              <w:spacing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SUSTAINABLE BANKING</w:t>
            </w:r>
          </w:p>
          <w:p w14:paraId="6E39838B" w14:textId="77777777" w:rsidR="00F963C4" w:rsidRDefault="00C62060" w:rsidP="00CC5934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Sustainable Banking Network (SBN) </w:t>
            </w:r>
            <w:r w:rsidR="00504277">
              <w:rPr>
                <w:rFonts w:asciiTheme="majorHAnsi" w:hAnsiTheme="majorHAnsi"/>
                <w:b/>
                <w:sz w:val="22"/>
                <w:szCs w:val="22"/>
              </w:rPr>
              <w:t>role in promoting sustainable banking principles.</w:t>
            </w:r>
            <w:r w:rsidR="00DB539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2F785452" w14:textId="77777777" w:rsidR="00C127FB" w:rsidRDefault="00D233F3" w:rsidP="006E72AB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1153CD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Boris Janjalia,</w:t>
            </w:r>
            <w:r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CG Officer, ECA ESG Program</w:t>
            </w:r>
            <w:r w:rsidRPr="00FA4AA5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(TB Confirmed)</w:t>
            </w:r>
          </w:p>
        </w:tc>
      </w:tr>
      <w:tr w:rsidR="000B3757" w:rsidRPr="009830FA" w14:paraId="2B018A69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76A31566" w14:textId="77777777" w:rsidR="000B3757" w:rsidRPr="009830FA" w:rsidRDefault="009A3A9D" w:rsidP="0078182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 w:rsidRPr="009830FA">
              <w:rPr>
                <w:rFonts w:asciiTheme="majorHAnsi" w:hAnsiTheme="majorHAnsi"/>
                <w:b/>
                <w:sz w:val="22"/>
              </w:rPr>
              <w:t>0</w:t>
            </w:r>
            <w:r w:rsidR="0097561C">
              <w:rPr>
                <w:rFonts w:asciiTheme="majorHAnsi" w:hAnsiTheme="majorHAnsi"/>
                <w:b/>
                <w:sz w:val="22"/>
              </w:rPr>
              <w:t>8</w:t>
            </w:r>
            <w:r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BF1950">
              <w:rPr>
                <w:rFonts w:asciiTheme="majorHAnsi" w:hAnsiTheme="majorHAnsi"/>
                <w:b/>
                <w:sz w:val="22"/>
              </w:rPr>
              <w:t>3</w:t>
            </w:r>
            <w:r w:rsidR="00D551E0">
              <w:rPr>
                <w:rFonts w:asciiTheme="majorHAnsi" w:hAnsiTheme="majorHAnsi"/>
                <w:b/>
                <w:sz w:val="22"/>
              </w:rPr>
              <w:t>0</w:t>
            </w:r>
            <w:r w:rsidR="000B3757" w:rsidRPr="009830FA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781823" w:rsidRPr="009830FA">
              <w:rPr>
                <w:rFonts w:asciiTheme="majorHAnsi" w:hAnsiTheme="majorHAnsi"/>
                <w:b/>
                <w:sz w:val="22"/>
              </w:rPr>
              <w:t>–</w:t>
            </w:r>
            <w:r w:rsidR="000B3757" w:rsidRPr="009830FA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97561C">
              <w:rPr>
                <w:rFonts w:asciiTheme="majorHAnsi" w:hAnsiTheme="majorHAnsi"/>
                <w:b/>
                <w:sz w:val="22"/>
              </w:rPr>
              <w:t>09</w:t>
            </w:r>
            <w:r w:rsidR="00781823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BF1950">
              <w:rPr>
                <w:rFonts w:asciiTheme="majorHAnsi" w:hAnsiTheme="majorHAnsi"/>
                <w:b/>
                <w:sz w:val="22"/>
              </w:rPr>
              <w:t>5</w:t>
            </w:r>
            <w:r w:rsidR="00781823" w:rsidRPr="009830FA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6978D8B9" w14:textId="77777777" w:rsidR="000E0C00" w:rsidRDefault="00D93E3A" w:rsidP="00BF1950">
            <w:pPr>
              <w:spacing w:after="60"/>
              <w:rPr>
                <w:rFonts w:asciiTheme="majorHAnsi" w:hAnsiTheme="majorHAnsi"/>
                <w:b/>
                <w:cap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aps/>
                <w:sz w:val="22"/>
                <w:szCs w:val="22"/>
              </w:rPr>
              <w:t>PRACTICE</w:t>
            </w:r>
            <w:r w:rsidR="000E0C00"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 group</w:t>
            </w:r>
            <w:r w:rsidR="009E6B7F"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 </w:t>
            </w:r>
            <w:r w:rsidR="00781823" w:rsidRPr="009830FA">
              <w:rPr>
                <w:rFonts w:asciiTheme="majorHAnsi" w:hAnsiTheme="majorHAnsi"/>
                <w:b/>
                <w:caps/>
                <w:sz w:val="22"/>
                <w:szCs w:val="22"/>
              </w:rPr>
              <w:t>Presentations</w:t>
            </w:r>
            <w:r w:rsidR="000E0C00">
              <w:rPr>
                <w:rFonts w:asciiTheme="majorHAnsi" w:hAnsiTheme="majorHAnsi"/>
                <w:b/>
                <w:caps/>
                <w:sz w:val="22"/>
                <w:szCs w:val="22"/>
              </w:rPr>
              <w:t xml:space="preserve"> </w:t>
            </w:r>
          </w:p>
          <w:p w14:paraId="5C1F15FC" w14:textId="77777777" w:rsidR="00D9516E" w:rsidRDefault="00BF1950" w:rsidP="000B3757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aps/>
                <w:sz w:val="22"/>
                <w:szCs w:val="22"/>
              </w:rPr>
              <w:t>E</w:t>
            </w:r>
            <w:r w:rsidR="00D9516E">
              <w:rPr>
                <w:rFonts w:asciiTheme="majorHAnsi" w:hAnsiTheme="majorHAnsi"/>
                <w:sz w:val="22"/>
                <w:szCs w:val="22"/>
              </w:rPr>
              <w:t>ach</w:t>
            </w:r>
            <w:r w:rsidR="00E71BA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A5669">
              <w:rPr>
                <w:rFonts w:asciiTheme="majorHAnsi" w:hAnsiTheme="majorHAnsi"/>
                <w:sz w:val="22"/>
                <w:szCs w:val="22"/>
              </w:rPr>
              <w:t>practice</w:t>
            </w:r>
            <w:r w:rsidR="0041251D">
              <w:rPr>
                <w:rFonts w:asciiTheme="majorHAnsi" w:hAnsiTheme="majorHAnsi"/>
                <w:sz w:val="22"/>
                <w:szCs w:val="22"/>
              </w:rPr>
              <w:t xml:space="preserve"> g</w:t>
            </w:r>
            <w:r w:rsidR="00E71BA5">
              <w:rPr>
                <w:rFonts w:asciiTheme="majorHAnsi" w:hAnsiTheme="majorHAnsi"/>
                <w:sz w:val="22"/>
                <w:szCs w:val="22"/>
              </w:rPr>
              <w:t>roup</w:t>
            </w:r>
            <w:r w:rsidR="00D951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208B">
              <w:rPr>
                <w:rFonts w:asciiTheme="majorHAnsi" w:hAnsiTheme="majorHAnsi"/>
                <w:sz w:val="22"/>
                <w:szCs w:val="22"/>
              </w:rPr>
              <w:t>has</w:t>
            </w:r>
            <w:r w:rsidR="00B772C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62060">
              <w:rPr>
                <w:rFonts w:asciiTheme="majorHAnsi" w:hAnsiTheme="majorHAnsi"/>
                <w:sz w:val="22"/>
                <w:szCs w:val="22"/>
              </w:rPr>
              <w:t xml:space="preserve">15 </w:t>
            </w:r>
            <w:r w:rsidR="00B772C1">
              <w:rPr>
                <w:rFonts w:asciiTheme="majorHAnsi" w:hAnsiTheme="majorHAnsi"/>
                <w:sz w:val="22"/>
                <w:szCs w:val="22"/>
              </w:rPr>
              <w:t xml:space="preserve">min. to </w:t>
            </w:r>
            <w:r>
              <w:rPr>
                <w:rFonts w:asciiTheme="majorHAnsi" w:hAnsiTheme="majorHAnsi"/>
                <w:sz w:val="22"/>
                <w:szCs w:val="22"/>
              </w:rPr>
              <w:t>address</w:t>
            </w:r>
            <w:r w:rsidR="000C7B5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E6B7F">
              <w:rPr>
                <w:rFonts w:asciiTheme="majorHAnsi" w:hAnsiTheme="majorHAnsi"/>
                <w:sz w:val="22"/>
                <w:szCs w:val="22"/>
              </w:rPr>
              <w:t xml:space="preserve">a selected </w:t>
            </w:r>
            <w:r w:rsidR="00E71BA5" w:rsidRPr="7F9AEF0C">
              <w:rPr>
                <w:rFonts w:asciiTheme="majorHAnsi" w:hAnsiTheme="majorHAnsi"/>
                <w:sz w:val="22"/>
                <w:szCs w:val="22"/>
              </w:rPr>
              <w:t xml:space="preserve">D&amp;T </w:t>
            </w:r>
            <w:r w:rsidR="00C62060">
              <w:rPr>
                <w:rFonts w:asciiTheme="majorHAnsi" w:hAnsiTheme="majorHAnsi"/>
                <w:sz w:val="22"/>
                <w:szCs w:val="22"/>
              </w:rPr>
              <w:t xml:space="preserve">topic, </w:t>
            </w:r>
            <w:r w:rsidR="00575ECC" w:rsidRPr="7F9AEF0C">
              <w:rPr>
                <w:rFonts w:asciiTheme="majorHAnsi" w:hAnsiTheme="majorHAnsi"/>
                <w:sz w:val="22"/>
                <w:szCs w:val="22"/>
              </w:rPr>
              <w:t>resource</w:t>
            </w:r>
            <w:r w:rsidR="00C62060">
              <w:rPr>
                <w:rFonts w:asciiTheme="majorHAnsi" w:hAnsiTheme="majorHAnsi"/>
                <w:sz w:val="22"/>
                <w:szCs w:val="22"/>
              </w:rPr>
              <w:t xml:space="preserve"> and challenge </w:t>
            </w:r>
            <w:r w:rsidR="000C7B54">
              <w:rPr>
                <w:rFonts w:asciiTheme="majorHAnsi" w:hAnsiTheme="majorHAnsi"/>
                <w:sz w:val="22"/>
                <w:szCs w:val="22"/>
              </w:rPr>
              <w:t>[TBD]</w:t>
            </w:r>
            <w:r w:rsidR="00986885">
              <w:rPr>
                <w:rFonts w:asciiTheme="majorHAnsi" w:hAnsiTheme="majorHAnsi"/>
                <w:sz w:val="22"/>
                <w:szCs w:val="22"/>
              </w:rPr>
              <w:t>.  Within each practice group, teams</w:t>
            </w:r>
            <w:r w:rsidR="008576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F1950">
              <w:rPr>
                <w:rFonts w:asciiTheme="majorHAnsi" w:hAnsiTheme="majorHAnsi"/>
                <w:sz w:val="22"/>
                <w:szCs w:val="22"/>
                <w:u w:val="single"/>
              </w:rPr>
              <w:t>manage time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as they</w:t>
            </w:r>
            <w:r w:rsidR="00D9516E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2F9B4A27" w14:textId="77777777" w:rsidR="00D9516E" w:rsidRPr="008576C6" w:rsidRDefault="00D9516E" w:rsidP="008576C6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8576C6">
              <w:rPr>
                <w:rFonts w:asciiTheme="majorHAnsi" w:hAnsiTheme="majorHAnsi"/>
                <w:sz w:val="22"/>
              </w:rPr>
              <w:t>Introduce</w:t>
            </w:r>
            <w:r w:rsidRPr="008576C6">
              <w:rPr>
                <w:rFonts w:asciiTheme="majorHAnsi" w:hAnsiTheme="majorHAnsi"/>
                <w:sz w:val="22"/>
                <w:szCs w:val="22"/>
              </w:rPr>
              <w:t xml:space="preserve"> the D&amp;T resource and </w:t>
            </w:r>
            <w:r w:rsidR="002E1C91" w:rsidRPr="008576C6">
              <w:rPr>
                <w:rFonts w:asciiTheme="majorHAnsi" w:hAnsiTheme="majorHAnsi"/>
                <w:sz w:val="22"/>
                <w:szCs w:val="22"/>
              </w:rPr>
              <w:t xml:space="preserve">discuss </w:t>
            </w:r>
            <w:r w:rsidRPr="008576C6">
              <w:rPr>
                <w:rFonts w:asciiTheme="majorHAnsi" w:hAnsiTheme="majorHAnsi"/>
                <w:sz w:val="22"/>
                <w:szCs w:val="22"/>
              </w:rPr>
              <w:t xml:space="preserve">practical </w:t>
            </w:r>
            <w:r w:rsidR="00C62060">
              <w:rPr>
                <w:rFonts w:asciiTheme="majorHAnsi" w:hAnsiTheme="majorHAnsi"/>
                <w:sz w:val="22"/>
                <w:szCs w:val="22"/>
              </w:rPr>
              <w:t>features</w:t>
            </w:r>
            <w:r w:rsidRPr="008576C6">
              <w:rPr>
                <w:rFonts w:asciiTheme="majorHAnsi" w:hAnsiTheme="majorHAnsi"/>
                <w:sz w:val="22"/>
                <w:szCs w:val="22"/>
              </w:rPr>
              <w:t xml:space="preserve"> + Q/A </w:t>
            </w:r>
            <w:r w:rsidR="00C62060">
              <w:rPr>
                <w:rFonts w:asciiTheme="majorHAnsi" w:hAnsiTheme="majorHAnsi"/>
                <w:sz w:val="22"/>
                <w:szCs w:val="22"/>
              </w:rPr>
              <w:t>;</w:t>
            </w:r>
            <w:r w:rsidR="00986885" w:rsidRPr="008576C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3787954" w14:textId="77777777" w:rsidR="002E1C91" w:rsidRPr="008576C6" w:rsidRDefault="00C62060" w:rsidP="008576C6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 to a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challenging 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D&amp;T </w:t>
            </w:r>
            <w:r>
              <w:rPr>
                <w:rFonts w:asciiTheme="majorHAnsi" w:hAnsiTheme="majorHAnsi"/>
                <w:sz w:val="22"/>
                <w:szCs w:val="22"/>
              </w:rPr>
              <w:t>question (“hot topic”)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with reference to the assigned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resource + Q/A; </w:t>
            </w:r>
            <w:r>
              <w:rPr>
                <w:rFonts w:asciiTheme="majorHAnsi" w:hAnsiTheme="majorHAnsi"/>
                <w:sz w:val="22"/>
                <w:szCs w:val="22"/>
              </w:rPr>
              <w:t>and</w:t>
            </w:r>
          </w:p>
          <w:p w14:paraId="6FD39070" w14:textId="77777777" w:rsidR="00D9516E" w:rsidRPr="008576C6" w:rsidRDefault="002E1C91" w:rsidP="008576C6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8576C6">
              <w:rPr>
                <w:rFonts w:asciiTheme="majorHAnsi" w:hAnsiTheme="majorHAnsi"/>
                <w:sz w:val="22"/>
                <w:szCs w:val="22"/>
              </w:rPr>
              <w:t>Propose action ideas with suggestions for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adapt</w:t>
            </w:r>
            <w:r w:rsidR="00C62060">
              <w:rPr>
                <w:rFonts w:asciiTheme="majorHAnsi" w:hAnsiTheme="majorHAnsi"/>
                <w:sz w:val="22"/>
                <w:szCs w:val="22"/>
              </w:rPr>
              <w:t>ing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the </w:t>
            </w:r>
            <w:r w:rsidR="00C62060">
              <w:rPr>
                <w:rFonts w:asciiTheme="majorHAnsi" w:hAnsiTheme="majorHAnsi"/>
                <w:sz w:val="22"/>
                <w:szCs w:val="22"/>
              </w:rPr>
              <w:t xml:space="preserve">D&amp;T 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>resource</w:t>
            </w:r>
            <w:r w:rsidR="00C62060">
              <w:rPr>
                <w:rFonts w:asciiTheme="majorHAnsi" w:hAnsiTheme="majorHAnsi"/>
                <w:sz w:val="22"/>
                <w:szCs w:val="22"/>
              </w:rPr>
              <w:t xml:space="preserve"> for the region</w:t>
            </w:r>
            <w:r w:rsidR="00D9516E" w:rsidRPr="008576C6">
              <w:rPr>
                <w:rFonts w:asciiTheme="majorHAnsi" w:hAnsiTheme="majorHAnsi"/>
                <w:sz w:val="22"/>
                <w:szCs w:val="22"/>
              </w:rPr>
              <w:t xml:space="preserve"> + Q/A.</w:t>
            </w:r>
          </w:p>
          <w:p w14:paraId="2258FB85" w14:textId="77777777" w:rsidR="00B772C1" w:rsidRPr="00171E69" w:rsidRDefault="00171E69" w:rsidP="000B3757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171E69">
              <w:rPr>
                <w:rFonts w:asciiTheme="majorHAnsi" w:hAnsiTheme="majorHAnsi"/>
                <w:b/>
                <w:sz w:val="22"/>
                <w:szCs w:val="22"/>
              </w:rPr>
              <w:t>Schedule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: Practice Group Presentations</w:t>
            </w:r>
            <w:r w:rsidR="00B772C1" w:rsidRPr="00171E69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4AB5E745" w14:textId="77777777" w:rsidR="000E0C00" w:rsidRPr="00C62060" w:rsidRDefault="00C62060" w:rsidP="00C62060">
            <w:pPr>
              <w:ind w:left="720"/>
              <w:rPr>
                <w:rFonts w:asciiTheme="majorHAnsi" w:hAnsiTheme="majorHAnsi"/>
                <w:sz w:val="22"/>
              </w:rPr>
            </w:pPr>
            <w:r w:rsidRPr="00C62060">
              <w:rPr>
                <w:rFonts w:asciiTheme="majorHAnsi" w:hAnsiTheme="majorHAnsi"/>
                <w:sz w:val="22"/>
              </w:rPr>
              <w:t>08</w:t>
            </w:r>
            <w:r w:rsidR="001468C5" w:rsidRPr="00C62060">
              <w:rPr>
                <w:rFonts w:asciiTheme="majorHAnsi" w:hAnsiTheme="majorHAnsi"/>
                <w:sz w:val="22"/>
              </w:rPr>
              <w:t>:</w:t>
            </w:r>
            <w:r w:rsidR="00BF1950">
              <w:rPr>
                <w:rFonts w:asciiTheme="majorHAnsi" w:hAnsiTheme="majorHAnsi"/>
                <w:sz w:val="22"/>
              </w:rPr>
              <w:t>3</w:t>
            </w:r>
            <w:r w:rsidR="002E1C91" w:rsidRPr="00C62060">
              <w:rPr>
                <w:rFonts w:asciiTheme="majorHAnsi" w:hAnsiTheme="majorHAnsi"/>
                <w:sz w:val="22"/>
              </w:rPr>
              <w:t>0</w:t>
            </w:r>
            <w:r w:rsidR="00D9516E" w:rsidRPr="00C62060">
              <w:rPr>
                <w:rFonts w:asciiTheme="majorHAnsi" w:hAnsiTheme="majorHAnsi"/>
                <w:sz w:val="22"/>
              </w:rPr>
              <w:t xml:space="preserve"> – </w:t>
            </w:r>
            <w:r w:rsidR="00A9494E">
              <w:rPr>
                <w:rFonts w:asciiTheme="majorHAnsi" w:hAnsiTheme="majorHAnsi"/>
                <w:sz w:val="22"/>
              </w:rPr>
              <w:t xml:space="preserve">Orientation and </w:t>
            </w:r>
            <w:r w:rsidR="000C7B54" w:rsidRPr="00C62060">
              <w:rPr>
                <w:rFonts w:asciiTheme="majorHAnsi" w:hAnsiTheme="majorHAnsi"/>
                <w:sz w:val="22"/>
              </w:rPr>
              <w:t>Group I</w:t>
            </w:r>
            <w:r w:rsidR="00171E69" w:rsidRPr="00C62060">
              <w:rPr>
                <w:rFonts w:asciiTheme="majorHAnsi" w:hAnsiTheme="majorHAnsi"/>
                <w:sz w:val="22"/>
              </w:rPr>
              <w:t xml:space="preserve">: </w:t>
            </w:r>
          </w:p>
          <w:p w14:paraId="3F76269F" w14:textId="77777777" w:rsidR="000E0C00" w:rsidRPr="00C62060" w:rsidRDefault="00A9494E" w:rsidP="00C62060">
            <w:pPr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08</w:t>
            </w:r>
            <w:r w:rsidR="001468C5" w:rsidRPr="00C62060">
              <w:rPr>
                <w:rFonts w:asciiTheme="majorHAnsi" w:hAnsiTheme="majorHAnsi"/>
                <w:sz w:val="22"/>
              </w:rPr>
              <w:t>:</w:t>
            </w:r>
            <w:r w:rsidR="00BF1950">
              <w:rPr>
                <w:rFonts w:asciiTheme="majorHAnsi" w:hAnsiTheme="majorHAnsi"/>
                <w:sz w:val="22"/>
              </w:rPr>
              <w:t>5</w:t>
            </w:r>
            <w:r>
              <w:rPr>
                <w:rFonts w:asciiTheme="majorHAnsi" w:hAnsiTheme="majorHAnsi"/>
                <w:sz w:val="22"/>
              </w:rPr>
              <w:t>0</w:t>
            </w:r>
            <w:r w:rsidR="00D9516E" w:rsidRPr="00C62060">
              <w:rPr>
                <w:rFonts w:asciiTheme="majorHAnsi" w:hAnsiTheme="majorHAnsi"/>
                <w:sz w:val="22"/>
              </w:rPr>
              <w:t xml:space="preserve"> – Group II </w:t>
            </w:r>
          </w:p>
          <w:p w14:paraId="32B47276" w14:textId="77777777" w:rsidR="00D9516E" w:rsidRPr="00C62060" w:rsidRDefault="00BF1950" w:rsidP="00C62060">
            <w:pPr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09</w:t>
            </w:r>
            <w:r w:rsidR="001468C5" w:rsidRPr="00C62060">
              <w:rPr>
                <w:rFonts w:asciiTheme="majorHAnsi" w:hAnsiTheme="majorHAnsi"/>
                <w:sz w:val="22"/>
              </w:rPr>
              <w:t>:</w:t>
            </w:r>
            <w:r>
              <w:rPr>
                <w:rFonts w:asciiTheme="majorHAnsi" w:hAnsiTheme="majorHAnsi"/>
                <w:sz w:val="22"/>
              </w:rPr>
              <w:t>0</w:t>
            </w:r>
            <w:r w:rsidR="00A9494E">
              <w:rPr>
                <w:rFonts w:asciiTheme="majorHAnsi" w:hAnsiTheme="majorHAnsi"/>
                <w:sz w:val="22"/>
              </w:rPr>
              <w:t>5</w:t>
            </w:r>
            <w:r w:rsidR="00D9516E" w:rsidRPr="00C62060">
              <w:rPr>
                <w:rFonts w:asciiTheme="majorHAnsi" w:hAnsiTheme="majorHAnsi"/>
                <w:sz w:val="22"/>
              </w:rPr>
              <w:t xml:space="preserve"> – Group III</w:t>
            </w:r>
            <w:r w:rsidR="001468C5" w:rsidRPr="00C62060">
              <w:rPr>
                <w:rFonts w:asciiTheme="majorHAnsi" w:hAnsiTheme="majorHAnsi"/>
                <w:sz w:val="22"/>
              </w:rPr>
              <w:t xml:space="preserve"> </w:t>
            </w:r>
            <w:r w:rsidR="009A13A6">
              <w:rPr>
                <w:rFonts w:asciiTheme="majorHAnsi" w:hAnsiTheme="majorHAnsi"/>
                <w:sz w:val="22"/>
              </w:rPr>
              <w:t xml:space="preserve">                             </w:t>
            </w:r>
            <w:r w:rsidR="009A13A6" w:rsidRPr="009A13A6">
              <w:rPr>
                <w:rFonts w:asciiTheme="majorHAnsi" w:hAnsiTheme="majorHAnsi"/>
                <w:b/>
                <w:sz w:val="22"/>
              </w:rPr>
              <w:t>Note:</w:t>
            </w:r>
            <w:r w:rsidR="009A13A6">
              <w:rPr>
                <w:rFonts w:asciiTheme="majorHAnsi" w:hAnsiTheme="majorHAnsi"/>
                <w:sz w:val="22"/>
              </w:rPr>
              <w:t xml:space="preserve"> </w:t>
            </w:r>
            <w:r w:rsidR="00770EEA">
              <w:rPr>
                <w:rFonts w:asciiTheme="majorHAnsi" w:hAnsiTheme="majorHAnsi"/>
                <w:sz w:val="22"/>
              </w:rPr>
              <w:t xml:space="preserve"> A</w:t>
            </w:r>
            <w:r w:rsidR="009A13A6" w:rsidRPr="009A13A6">
              <w:rPr>
                <w:rFonts w:asciiTheme="majorHAnsi" w:hAnsiTheme="majorHAnsi"/>
                <w:sz w:val="22"/>
              </w:rPr>
              <w:t xml:space="preserve">ssignment </w:t>
            </w:r>
            <w:r w:rsidR="00770EEA">
              <w:rPr>
                <w:rFonts w:asciiTheme="majorHAnsi" w:hAnsiTheme="majorHAnsi"/>
                <w:sz w:val="22"/>
              </w:rPr>
              <w:t>details</w:t>
            </w:r>
            <w:r w:rsidR="009A13A6" w:rsidRPr="009A13A6">
              <w:rPr>
                <w:rFonts w:asciiTheme="majorHAnsi" w:hAnsiTheme="majorHAnsi"/>
                <w:sz w:val="22"/>
              </w:rPr>
              <w:t xml:space="preserve"> will be</w:t>
            </w:r>
          </w:p>
          <w:p w14:paraId="4F97E465" w14:textId="77777777" w:rsidR="00D551E0" w:rsidRPr="00C62060" w:rsidRDefault="00A9494E" w:rsidP="00C62060">
            <w:pPr>
              <w:ind w:left="720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sz w:val="22"/>
              </w:rPr>
              <w:lastRenderedPageBreak/>
              <w:t>09</w:t>
            </w:r>
            <w:r w:rsidR="00D551E0" w:rsidRPr="00C62060">
              <w:rPr>
                <w:rFonts w:asciiTheme="majorHAnsi" w:hAnsiTheme="majorHAnsi"/>
                <w:bCs/>
                <w:sz w:val="22"/>
              </w:rPr>
              <w:t>:</w:t>
            </w:r>
            <w:r w:rsidR="00BF1950">
              <w:rPr>
                <w:rFonts w:asciiTheme="majorHAnsi" w:hAnsiTheme="majorHAnsi"/>
                <w:bCs/>
                <w:sz w:val="22"/>
              </w:rPr>
              <w:t>2</w:t>
            </w:r>
            <w:r>
              <w:rPr>
                <w:rFonts w:asciiTheme="majorHAnsi" w:hAnsiTheme="majorHAnsi"/>
                <w:bCs/>
                <w:sz w:val="22"/>
              </w:rPr>
              <w:t>0</w:t>
            </w:r>
            <w:r w:rsidR="00D9516E" w:rsidRPr="00C62060">
              <w:rPr>
                <w:rFonts w:asciiTheme="majorHAnsi" w:hAnsiTheme="majorHAnsi"/>
                <w:bCs/>
                <w:sz w:val="22"/>
              </w:rPr>
              <w:t xml:space="preserve"> – Group IV</w:t>
            </w:r>
            <w:r w:rsidR="009A13A6">
              <w:rPr>
                <w:rFonts w:asciiTheme="majorHAnsi" w:hAnsiTheme="majorHAnsi"/>
                <w:bCs/>
                <w:sz w:val="22"/>
              </w:rPr>
              <w:t xml:space="preserve">                              presented to each group.</w:t>
            </w:r>
            <w:r w:rsidR="00171E69" w:rsidRPr="00C62060">
              <w:rPr>
                <w:rFonts w:asciiTheme="majorHAnsi" w:hAnsiTheme="majorHAnsi"/>
                <w:bCs/>
                <w:sz w:val="22"/>
              </w:rPr>
              <w:t xml:space="preserve"> </w:t>
            </w:r>
          </w:p>
          <w:p w14:paraId="1121D421" w14:textId="77777777" w:rsidR="007F7876" w:rsidRPr="00C62060" w:rsidRDefault="00A9494E" w:rsidP="00C62060">
            <w:pPr>
              <w:ind w:left="720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sz w:val="22"/>
              </w:rPr>
              <w:t>09</w:t>
            </w:r>
            <w:r w:rsidR="004B54E6" w:rsidRPr="00C62060">
              <w:rPr>
                <w:rFonts w:asciiTheme="majorHAnsi" w:hAnsiTheme="majorHAnsi"/>
                <w:bCs/>
                <w:sz w:val="22"/>
              </w:rPr>
              <w:t>:</w:t>
            </w:r>
            <w:r w:rsidR="00BF1950">
              <w:rPr>
                <w:rFonts w:asciiTheme="majorHAnsi" w:hAnsiTheme="majorHAnsi"/>
                <w:bCs/>
                <w:sz w:val="22"/>
              </w:rPr>
              <w:t>3</w:t>
            </w:r>
            <w:r>
              <w:rPr>
                <w:rFonts w:asciiTheme="majorHAnsi" w:hAnsiTheme="majorHAnsi"/>
                <w:bCs/>
                <w:sz w:val="22"/>
              </w:rPr>
              <w:t>5</w:t>
            </w:r>
            <w:r w:rsidR="001C7864" w:rsidRPr="00C62060">
              <w:rPr>
                <w:rFonts w:asciiTheme="majorHAnsi" w:hAnsiTheme="majorHAnsi"/>
                <w:bCs/>
                <w:sz w:val="22"/>
              </w:rPr>
              <w:t xml:space="preserve"> – Group V </w:t>
            </w:r>
          </w:p>
          <w:p w14:paraId="59D3BCDF" w14:textId="77777777" w:rsidR="000B3757" w:rsidRPr="001468C5" w:rsidRDefault="009525D8" w:rsidP="00C62060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FA4AA5">
              <w:rPr>
                <w:rFonts w:asciiTheme="majorHAnsi" w:hAnsiTheme="majorHAnsi"/>
                <w:b/>
                <w:bCs/>
                <w:sz w:val="22"/>
                <w:szCs w:val="22"/>
              </w:rPr>
              <w:t>Mary Jo Larson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Senior Consultant IFC</w:t>
            </w:r>
          </w:p>
        </w:tc>
      </w:tr>
      <w:tr w:rsidR="00854E8B" w:rsidRPr="009830FA" w14:paraId="3E4716C3" w14:textId="77777777">
        <w:trPr>
          <w:tblCellSpacing w:w="72" w:type="dxa"/>
          <w:jc w:val="center"/>
        </w:trPr>
        <w:tc>
          <w:tcPr>
            <w:tcW w:w="2536" w:type="dxa"/>
            <w:shd w:val="clear" w:color="auto" w:fill="DBE5F1" w:themeFill="accent1" w:themeFillTint="33"/>
          </w:tcPr>
          <w:p w14:paraId="752797FC" w14:textId="77777777" w:rsidR="00854E8B" w:rsidRPr="009830FA" w:rsidRDefault="0097561C" w:rsidP="00E31803">
            <w:pPr>
              <w:spacing w:before="120"/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lastRenderedPageBreak/>
              <w:t>09</w:t>
            </w:r>
            <w:r w:rsidR="005A7718" w:rsidRPr="009830FA">
              <w:rPr>
                <w:rFonts w:asciiTheme="majorHAnsi" w:hAnsiTheme="majorHAnsi"/>
                <w:b/>
                <w:sz w:val="22"/>
              </w:rPr>
              <w:t>:</w:t>
            </w:r>
            <w:r w:rsidR="00781823" w:rsidRPr="009830FA">
              <w:rPr>
                <w:rFonts w:asciiTheme="majorHAnsi" w:hAnsiTheme="majorHAnsi"/>
                <w:b/>
                <w:sz w:val="22"/>
              </w:rPr>
              <w:t>5</w:t>
            </w:r>
            <w:r w:rsidR="00691796" w:rsidRPr="009830FA">
              <w:rPr>
                <w:rFonts w:asciiTheme="majorHAnsi" w:hAnsiTheme="majorHAnsi"/>
                <w:b/>
                <w:sz w:val="22"/>
              </w:rPr>
              <w:t>0 - 1</w:t>
            </w:r>
            <w:r>
              <w:rPr>
                <w:rFonts w:asciiTheme="majorHAnsi" w:hAnsiTheme="majorHAnsi"/>
                <w:b/>
                <w:sz w:val="22"/>
              </w:rPr>
              <w:t>0</w:t>
            </w:r>
            <w:r w:rsidR="00691796" w:rsidRPr="009830FA">
              <w:rPr>
                <w:rFonts w:asciiTheme="majorHAnsi" w:hAnsiTheme="majorHAnsi"/>
                <w:b/>
                <w:sz w:val="22"/>
              </w:rPr>
              <w:t>:0</w:t>
            </w:r>
            <w:r w:rsidR="00854E8B" w:rsidRPr="009830FA">
              <w:rPr>
                <w:rFonts w:asciiTheme="majorHAnsi" w:hAnsiTheme="majorHAnsi"/>
                <w:b/>
                <w:sz w:val="22"/>
              </w:rPr>
              <w:t>0</w:t>
            </w:r>
          </w:p>
        </w:tc>
        <w:tc>
          <w:tcPr>
            <w:tcW w:w="7575" w:type="dxa"/>
            <w:shd w:val="clear" w:color="auto" w:fill="DBE5F1" w:themeFill="accent1" w:themeFillTint="33"/>
          </w:tcPr>
          <w:p w14:paraId="0AFEA772" w14:textId="77777777" w:rsidR="005A7718" w:rsidRPr="009830FA" w:rsidRDefault="005A7718" w:rsidP="005A7718">
            <w:pPr>
              <w:spacing w:before="20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9830FA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Action Steps and Closing Remarks</w:t>
            </w:r>
          </w:p>
          <w:p w14:paraId="666A6E7E" w14:textId="77777777" w:rsidR="00A6691D" w:rsidRPr="00A6691D" w:rsidRDefault="00A6691D" w:rsidP="00A6691D">
            <w:pPr>
              <w:numPr>
                <w:ilvl w:val="0"/>
                <w:numId w:val="35"/>
              </w:numPr>
              <w:spacing w:before="6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</w:rPr>
              <w:t xml:space="preserve">Yuliya Holodkova, </w:t>
            </w:r>
            <w:r w:rsidRPr="00A6691D">
              <w:rPr>
                <w:rFonts w:asciiTheme="majorHAnsi" w:hAnsiTheme="majorHAnsi" w:cs="Arial"/>
                <w:bCs/>
                <w:sz w:val="22"/>
              </w:rPr>
              <w:t>CG Officer</w:t>
            </w:r>
            <w:r>
              <w:rPr>
                <w:rFonts w:asciiTheme="majorHAnsi" w:hAnsiTheme="majorHAnsi" w:cs="Arial"/>
                <w:b/>
                <w:sz w:val="22"/>
              </w:rPr>
              <w:t xml:space="preserve"> </w:t>
            </w:r>
            <w:r w:rsidR="00095A90" w:rsidRPr="0041251D">
              <w:rPr>
                <w:rFonts w:asciiTheme="majorHAnsi" w:hAnsiTheme="majorHAnsi" w:cs="Arial"/>
                <w:sz w:val="22"/>
              </w:rPr>
              <w:t>ECA</w:t>
            </w:r>
            <w:r w:rsidR="0041251D">
              <w:rPr>
                <w:rFonts w:asciiTheme="majorHAnsi" w:hAnsiTheme="majorHAnsi" w:cs="Arial"/>
                <w:sz w:val="22"/>
              </w:rPr>
              <w:t xml:space="preserve"> ESG </w:t>
            </w:r>
          </w:p>
          <w:p w14:paraId="1C1DCCD0" w14:textId="77777777" w:rsidR="00854E8B" w:rsidRPr="0041251D" w:rsidRDefault="005A7718" w:rsidP="00A6691D">
            <w:pPr>
              <w:numPr>
                <w:ilvl w:val="0"/>
                <w:numId w:val="35"/>
              </w:numPr>
              <w:spacing w:before="6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830FA">
              <w:rPr>
                <w:rFonts w:asciiTheme="majorHAnsi" w:hAnsiTheme="majorHAnsi"/>
                <w:b/>
                <w:bCs/>
                <w:sz w:val="22"/>
                <w:szCs w:val="22"/>
              </w:rPr>
              <w:t>Ralitza Germanova,</w:t>
            </w:r>
            <w:r w:rsidRPr="009830F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41251D"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  <w:t>Disclosure and Transparency Program Lead, IFC</w:t>
            </w:r>
          </w:p>
        </w:tc>
      </w:tr>
    </w:tbl>
    <w:p w14:paraId="48411074" w14:textId="77777777" w:rsidR="005F40FF" w:rsidRDefault="005F40FF" w:rsidP="005F40FF">
      <w:pPr>
        <w:spacing w:after="120"/>
        <w:rPr>
          <w:rFonts w:asciiTheme="majorHAnsi" w:hAnsiTheme="majorHAnsi"/>
          <w:b/>
          <w:caps/>
          <w:sz w:val="22"/>
        </w:rPr>
      </w:pPr>
      <w:r>
        <w:rPr>
          <w:rFonts w:asciiTheme="majorHAnsi" w:hAnsiTheme="majorHAnsi"/>
          <w:b/>
          <w:caps/>
          <w:sz w:val="22"/>
        </w:rPr>
        <w:t xml:space="preserve"> III. </w:t>
      </w:r>
      <w:r w:rsidRPr="006F163A">
        <w:rPr>
          <w:rFonts w:asciiTheme="majorHAnsi" w:hAnsiTheme="majorHAnsi"/>
          <w:b/>
          <w:caps/>
          <w:sz w:val="22"/>
        </w:rPr>
        <w:t>“Ask the Expert” Series</w:t>
      </w:r>
    </w:p>
    <w:p w14:paraId="03211546" w14:textId="77777777" w:rsidR="007F7876" w:rsidRDefault="005F40FF" w:rsidP="00EE0559">
      <w:pPr>
        <w:spacing w:before="60"/>
        <w:rPr>
          <w:rFonts w:asciiTheme="majorHAnsi" w:hAnsiTheme="majorHAnsi"/>
          <w:sz w:val="22"/>
          <w:szCs w:val="22"/>
        </w:rPr>
      </w:pPr>
      <w:r w:rsidRPr="00D93718">
        <w:rPr>
          <w:rFonts w:asciiTheme="majorHAnsi" w:hAnsiTheme="majorHAnsi"/>
          <w:b/>
          <w:sz w:val="22"/>
        </w:rPr>
        <w:t>Activity for June</w:t>
      </w:r>
      <w:r w:rsidR="009D05F5">
        <w:rPr>
          <w:rFonts w:asciiTheme="majorHAnsi" w:hAnsiTheme="majorHAnsi"/>
          <w:b/>
          <w:sz w:val="22"/>
        </w:rPr>
        <w:t xml:space="preserve"> 25, </w:t>
      </w:r>
      <w:r w:rsidRPr="00D93718">
        <w:rPr>
          <w:rFonts w:asciiTheme="majorHAnsi" w:hAnsiTheme="majorHAnsi"/>
          <w:b/>
          <w:sz w:val="22"/>
        </w:rPr>
        <w:t xml:space="preserve"> </w:t>
      </w:r>
      <w:r w:rsidR="009D05F5">
        <w:rPr>
          <w:rFonts w:asciiTheme="majorHAnsi" w:hAnsiTheme="majorHAnsi"/>
          <w:b/>
          <w:sz w:val="22"/>
        </w:rPr>
        <w:t>13-14 pm CET</w:t>
      </w:r>
      <w:r w:rsidRPr="00D93718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b/>
          <w:sz w:val="22"/>
        </w:rPr>
        <w:t xml:space="preserve">  </w:t>
      </w:r>
      <w:r w:rsidRPr="006F163A">
        <w:rPr>
          <w:rFonts w:asciiTheme="majorHAnsi" w:hAnsiTheme="majorHAnsi"/>
          <w:sz w:val="22"/>
        </w:rPr>
        <w:t xml:space="preserve">All participants are invited to sign up for a one-hour </w:t>
      </w:r>
      <w:r>
        <w:rPr>
          <w:rFonts w:asciiTheme="majorHAnsi" w:hAnsiTheme="majorHAnsi"/>
          <w:sz w:val="22"/>
        </w:rPr>
        <w:t xml:space="preserve">session on </w:t>
      </w:r>
      <w:r w:rsidR="00A62222">
        <w:rPr>
          <w:rFonts w:asciiTheme="majorHAnsi" w:hAnsiTheme="majorHAnsi"/>
          <w:b/>
          <w:sz w:val="22"/>
          <w:szCs w:val="22"/>
        </w:rPr>
        <w:t xml:space="preserve">The Roadmap to Sustainable Finance </w:t>
      </w:r>
      <w:r>
        <w:rPr>
          <w:rFonts w:asciiTheme="majorHAnsi" w:hAnsiTheme="majorHAnsi"/>
          <w:sz w:val="22"/>
        </w:rPr>
        <w:t>with</w:t>
      </w:r>
      <w:r w:rsidR="00EE0559">
        <w:rPr>
          <w:rFonts w:asciiTheme="majorHAnsi" w:hAnsiTheme="majorHAnsi"/>
          <w:sz w:val="22"/>
        </w:rPr>
        <w:t xml:space="preserve"> </w:t>
      </w:r>
      <w:r w:rsidR="00EE0559" w:rsidRPr="009830FA">
        <w:rPr>
          <w:rFonts w:asciiTheme="majorHAnsi" w:hAnsiTheme="majorHAnsi"/>
          <w:b/>
          <w:sz w:val="22"/>
          <w:szCs w:val="22"/>
        </w:rPr>
        <w:t xml:space="preserve">Jerome Lavigne-Deville, </w:t>
      </w:r>
      <w:r w:rsidR="00EE0559">
        <w:rPr>
          <w:rFonts w:asciiTheme="majorHAnsi" w:hAnsiTheme="majorHAnsi"/>
          <w:sz w:val="22"/>
          <w:szCs w:val="22"/>
        </w:rPr>
        <w:t xml:space="preserve">Senior Consultant </w:t>
      </w:r>
    </w:p>
    <w:p w14:paraId="2739DDD2" w14:textId="77777777" w:rsidR="005F40FF" w:rsidRPr="00D93718" w:rsidRDefault="005F40FF" w:rsidP="00EE0559">
      <w:pPr>
        <w:spacing w:before="60"/>
        <w:rPr>
          <w:rFonts w:asciiTheme="majorHAnsi" w:hAnsiTheme="majorHAnsi"/>
          <w:b/>
          <w:sz w:val="22"/>
        </w:rPr>
      </w:pPr>
      <w:r w:rsidRPr="006F163A">
        <w:rPr>
          <w:rFonts w:asciiTheme="majorHAnsi" w:hAnsiTheme="majorHAnsi"/>
          <w:sz w:val="22"/>
        </w:rPr>
        <w:t>[</w:t>
      </w:r>
      <w:r w:rsidR="007E28E0">
        <w:rPr>
          <w:rFonts w:asciiTheme="majorHAnsi" w:hAnsiTheme="majorHAnsi"/>
          <w:sz w:val="22"/>
        </w:rPr>
        <w:t xml:space="preserve">Please sign up for the session by sending </w:t>
      </w:r>
      <w:r w:rsidR="00804BF4">
        <w:rPr>
          <w:rFonts w:asciiTheme="majorHAnsi" w:hAnsiTheme="majorHAnsi"/>
          <w:sz w:val="22"/>
        </w:rPr>
        <w:t xml:space="preserve">an </w:t>
      </w:r>
      <w:r w:rsidR="007E28E0">
        <w:rPr>
          <w:rFonts w:asciiTheme="majorHAnsi" w:hAnsiTheme="majorHAnsi"/>
          <w:sz w:val="22"/>
        </w:rPr>
        <w:t xml:space="preserve">email to Mirjana Djukic at </w:t>
      </w:r>
      <w:hyperlink r:id="rId21" w:history="1">
        <w:r w:rsidR="007E28E0" w:rsidRPr="00DD25A0">
          <w:rPr>
            <w:rStyle w:val="Hyperlink"/>
            <w:rFonts w:asciiTheme="majorHAnsi" w:hAnsiTheme="majorHAnsi"/>
            <w:sz w:val="22"/>
          </w:rPr>
          <w:t>mdjukic@ifc.org</w:t>
        </w:r>
      </w:hyperlink>
      <w:r w:rsidR="007E28E0">
        <w:rPr>
          <w:rFonts w:asciiTheme="majorHAnsi" w:hAnsiTheme="majorHAnsi"/>
          <w:sz w:val="22"/>
        </w:rPr>
        <w:t xml:space="preserve"> by June </w:t>
      </w:r>
      <w:r w:rsidR="00804BF4">
        <w:rPr>
          <w:rFonts w:asciiTheme="majorHAnsi" w:hAnsiTheme="majorHAnsi"/>
          <w:sz w:val="22"/>
        </w:rPr>
        <w:t>22</w:t>
      </w:r>
      <w:r w:rsidRPr="006F163A">
        <w:rPr>
          <w:rFonts w:asciiTheme="majorHAnsi" w:hAnsiTheme="majorHAnsi"/>
          <w:sz w:val="22"/>
          <w:szCs w:val="22"/>
        </w:rPr>
        <w:t xml:space="preserve">].  </w:t>
      </w:r>
    </w:p>
    <w:p w14:paraId="71FF8E64" w14:textId="77777777" w:rsidR="009C34DE" w:rsidRPr="00902754" w:rsidRDefault="009C34DE" w:rsidP="00EB2D25">
      <w:pPr>
        <w:jc w:val="both"/>
        <w:rPr>
          <w:rFonts w:asciiTheme="majorHAnsi" w:hAnsiTheme="majorHAnsi" w:cs="Calibri"/>
          <w:sz w:val="22"/>
          <w:szCs w:val="22"/>
        </w:rPr>
      </w:pPr>
    </w:p>
    <w:sectPr w:rsidR="009C34DE" w:rsidRPr="00902754" w:rsidSect="00D9026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Fmt w:val="chicago"/>
      </w:footnotePr>
      <w:pgSz w:w="11909" w:h="16834" w:code="9"/>
      <w:pgMar w:top="1267" w:right="1469" w:bottom="990" w:left="1800" w:header="720" w:footer="72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15C80" w14:textId="77777777" w:rsidR="0038591B" w:rsidRDefault="0038591B">
      <w:r>
        <w:separator/>
      </w:r>
    </w:p>
  </w:endnote>
  <w:endnote w:type="continuationSeparator" w:id="0">
    <w:p w14:paraId="4BD43522" w14:textId="77777777" w:rsidR="0038591B" w:rsidRDefault="0038591B">
      <w:r>
        <w:continuationSeparator/>
      </w:r>
    </w:p>
  </w:endnote>
  <w:endnote w:type="continuationNotice" w:id="1">
    <w:p w14:paraId="5B158708" w14:textId="77777777" w:rsidR="0038591B" w:rsidRDefault="00385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11D9" w14:textId="77777777" w:rsidR="00CB07AF" w:rsidRDefault="00CF1DAB" w:rsidP="006B09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07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39CAF" w14:textId="77777777" w:rsidR="00CB07AF" w:rsidRDefault="00CB0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1819" w14:textId="77777777" w:rsidR="00CB07AF" w:rsidRDefault="00CF1DAB" w:rsidP="006B09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07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9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1C7F74" w14:textId="77777777" w:rsidR="00CB07AF" w:rsidRPr="000956FD" w:rsidRDefault="00CB07AF" w:rsidP="006B09EF">
    <w:pPr>
      <w:pStyle w:val="Footer"/>
      <w:tabs>
        <w:tab w:val="clear" w:pos="4320"/>
      </w:tabs>
      <w:ind w:left="-900"/>
      <w:jc w:val="center"/>
      <w:rPr>
        <w:rFonts w:ascii="Calibri" w:hAnsi="Calibri" w:cs="Tahoma"/>
        <w:bCs/>
        <w:iCs/>
        <w:noProof/>
        <w:color w:val="1F497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BC397" w14:textId="77777777" w:rsidR="00CB07AF" w:rsidRDefault="00CB0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2AAB3" w14:textId="77777777" w:rsidR="0038591B" w:rsidRDefault="0038591B">
      <w:r>
        <w:separator/>
      </w:r>
    </w:p>
  </w:footnote>
  <w:footnote w:type="continuationSeparator" w:id="0">
    <w:p w14:paraId="7E12AAD6" w14:textId="77777777" w:rsidR="0038591B" w:rsidRDefault="0038591B">
      <w:r>
        <w:continuationSeparator/>
      </w:r>
    </w:p>
  </w:footnote>
  <w:footnote w:type="continuationNotice" w:id="1">
    <w:p w14:paraId="4733E628" w14:textId="77777777" w:rsidR="0038591B" w:rsidRDefault="00385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67B59" w14:textId="77777777" w:rsidR="00CB07AF" w:rsidRDefault="00CB0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39" w:type="pct"/>
      <w:tblInd w:w="-515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40"/>
      <w:gridCol w:w="1504"/>
    </w:tblGrid>
    <w:tr w:rsidR="00CB07AF" w:rsidRPr="00DC2705" w14:paraId="171E1B78" w14:textId="77777777">
      <w:tc>
        <w:tcPr>
          <w:tcW w:w="4228" w:type="pct"/>
          <w:tcBorders>
            <w:bottom w:val="single" w:sz="4" w:space="0" w:color="365F91"/>
          </w:tcBorders>
          <w:vAlign w:val="bottom"/>
        </w:tcPr>
        <w:p w14:paraId="6016473D" w14:textId="77777777" w:rsidR="00CB07AF" w:rsidRPr="00EC5A68" w:rsidRDefault="00CB07AF" w:rsidP="002A5D22">
          <w:pPr>
            <w:pStyle w:val="Header"/>
            <w:rPr>
              <w:rFonts w:ascii="Calibri" w:hAnsi="Calibri" w:cs="Tahoma"/>
              <w:b/>
              <w:bCs/>
              <w:caps/>
              <w:noProof/>
              <w:color w:val="1F497D"/>
              <w:sz w:val="22"/>
              <w:szCs w:val="20"/>
            </w:rPr>
          </w:pPr>
          <w:r w:rsidRPr="00EC5A68">
            <w:rPr>
              <w:rFonts w:ascii="Calibri" w:hAnsi="Calibri" w:cs="Tahoma"/>
              <w:b/>
              <w:bCs/>
              <w:caps/>
              <w:noProof/>
              <w:color w:val="1F497D"/>
              <w:sz w:val="22"/>
              <w:szCs w:val="20"/>
            </w:rPr>
            <w:t xml:space="preserve">IFC’s Disclosure and Transparency Webinar Series </w:t>
          </w:r>
        </w:p>
      </w:tc>
      <w:tc>
        <w:tcPr>
          <w:tcW w:w="772" w:type="pct"/>
          <w:tcBorders>
            <w:bottom w:val="single" w:sz="4" w:space="0" w:color="244061"/>
          </w:tcBorders>
          <w:shd w:val="clear" w:color="auto" w:fill="244061"/>
          <w:vAlign w:val="bottom"/>
        </w:tcPr>
        <w:p w14:paraId="51B7E1F3" w14:textId="77777777" w:rsidR="00CB07AF" w:rsidRDefault="00CB07AF" w:rsidP="006B09EF">
          <w:pPr>
            <w:pStyle w:val="Header"/>
            <w:jc w:val="center"/>
            <w:rPr>
              <w:rFonts w:ascii="Calibri" w:hAnsi="Calibri" w:cs="Tahoma"/>
              <w:b/>
              <w:bCs/>
              <w:color w:val="FFFFFF"/>
              <w:sz w:val="22"/>
              <w:szCs w:val="18"/>
            </w:rPr>
          </w:pPr>
          <w:r>
            <w:rPr>
              <w:rFonts w:ascii="Calibri" w:hAnsi="Calibri" w:cs="Tahoma"/>
              <w:b/>
              <w:bCs/>
              <w:color w:val="FFFFFF"/>
              <w:sz w:val="22"/>
              <w:szCs w:val="18"/>
            </w:rPr>
            <w:t>June 9, 16, 23,</w:t>
          </w:r>
        </w:p>
        <w:p w14:paraId="16640B9C" w14:textId="77777777" w:rsidR="00CB07AF" w:rsidRPr="00E42833" w:rsidRDefault="00CB07AF" w:rsidP="006B09EF">
          <w:pPr>
            <w:pStyle w:val="Header"/>
            <w:jc w:val="center"/>
            <w:rPr>
              <w:rFonts w:ascii="Calibri" w:hAnsi="Calibri" w:cs="Tahoma"/>
              <w:b/>
              <w:bCs/>
              <w:color w:val="FFFFFF"/>
              <w:sz w:val="22"/>
              <w:szCs w:val="18"/>
            </w:rPr>
          </w:pPr>
          <w:r>
            <w:rPr>
              <w:rFonts w:ascii="Calibri" w:hAnsi="Calibri" w:cs="Tahoma"/>
              <w:b/>
              <w:bCs/>
              <w:color w:val="FFFFFF"/>
              <w:sz w:val="22"/>
              <w:szCs w:val="18"/>
            </w:rPr>
            <w:t>2021</w:t>
          </w:r>
        </w:p>
      </w:tc>
    </w:tr>
  </w:tbl>
  <w:p w14:paraId="79107C1E" w14:textId="77777777" w:rsidR="00CB07AF" w:rsidRDefault="00CB0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3045" w14:textId="77777777" w:rsidR="00CB07AF" w:rsidRDefault="00CB0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2"/>
        <w:szCs w:val="22"/>
      </w:rPr>
    </w:lvl>
  </w:abstractNum>
  <w:abstractNum w:abstractNumId="1" w15:restartNumberingAfterBreak="0">
    <w:nsid w:val="04C94809"/>
    <w:multiLevelType w:val="hybridMultilevel"/>
    <w:tmpl w:val="70BC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2D8B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84696"/>
    <w:multiLevelType w:val="hybridMultilevel"/>
    <w:tmpl w:val="E8D86EDC"/>
    <w:lvl w:ilvl="0" w:tplc="ED649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564B"/>
    <w:multiLevelType w:val="hybridMultilevel"/>
    <w:tmpl w:val="A96C0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B6BFC"/>
    <w:multiLevelType w:val="hybridMultilevel"/>
    <w:tmpl w:val="C3B6D502"/>
    <w:lvl w:ilvl="0" w:tplc="64B01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B281C"/>
    <w:multiLevelType w:val="hybridMultilevel"/>
    <w:tmpl w:val="3BBACC64"/>
    <w:lvl w:ilvl="0" w:tplc="80FCCBDA"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970B0"/>
    <w:multiLevelType w:val="hybridMultilevel"/>
    <w:tmpl w:val="5224A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F35D9"/>
    <w:multiLevelType w:val="hybridMultilevel"/>
    <w:tmpl w:val="0EB0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86206"/>
    <w:multiLevelType w:val="hybridMultilevel"/>
    <w:tmpl w:val="5CEC5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71D4C"/>
    <w:multiLevelType w:val="hybridMultilevel"/>
    <w:tmpl w:val="6A52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B2F78"/>
    <w:multiLevelType w:val="hybridMultilevel"/>
    <w:tmpl w:val="C152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7E1B7A"/>
    <w:multiLevelType w:val="hybridMultilevel"/>
    <w:tmpl w:val="A5DC8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41366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21BD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E563F"/>
    <w:multiLevelType w:val="hybridMultilevel"/>
    <w:tmpl w:val="F92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458CF"/>
    <w:multiLevelType w:val="hybridMultilevel"/>
    <w:tmpl w:val="1978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717F0"/>
    <w:multiLevelType w:val="hybridMultilevel"/>
    <w:tmpl w:val="1E50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91D3E"/>
    <w:multiLevelType w:val="hybridMultilevel"/>
    <w:tmpl w:val="29F89140"/>
    <w:lvl w:ilvl="0" w:tplc="536472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71997"/>
    <w:multiLevelType w:val="hybridMultilevel"/>
    <w:tmpl w:val="B21A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75374"/>
    <w:multiLevelType w:val="hybridMultilevel"/>
    <w:tmpl w:val="CE40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0030B"/>
    <w:multiLevelType w:val="hybridMultilevel"/>
    <w:tmpl w:val="EF94A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7D18DB"/>
    <w:multiLevelType w:val="hybridMultilevel"/>
    <w:tmpl w:val="5B50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D57E9"/>
    <w:multiLevelType w:val="hybridMultilevel"/>
    <w:tmpl w:val="B810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6F37"/>
    <w:multiLevelType w:val="hybridMultilevel"/>
    <w:tmpl w:val="DE6A0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F65C9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77C51"/>
    <w:multiLevelType w:val="hybridMultilevel"/>
    <w:tmpl w:val="B29C88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EB0EC3"/>
    <w:multiLevelType w:val="hybridMultilevel"/>
    <w:tmpl w:val="DD8E4B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482B5D12"/>
    <w:multiLevelType w:val="hybridMultilevel"/>
    <w:tmpl w:val="154A0C06"/>
    <w:lvl w:ilvl="0" w:tplc="B10231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C7028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B5B1E"/>
    <w:multiLevelType w:val="hybridMultilevel"/>
    <w:tmpl w:val="B8EA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03005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E5D91"/>
    <w:multiLevelType w:val="hybridMultilevel"/>
    <w:tmpl w:val="5F3C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D54B3"/>
    <w:multiLevelType w:val="hybridMultilevel"/>
    <w:tmpl w:val="41E8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B0D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92E24"/>
    <w:multiLevelType w:val="hybridMultilevel"/>
    <w:tmpl w:val="C220D5D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5E731CC3"/>
    <w:multiLevelType w:val="hybridMultilevel"/>
    <w:tmpl w:val="36D6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E45CC"/>
    <w:multiLevelType w:val="hybridMultilevel"/>
    <w:tmpl w:val="CE5C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405E1"/>
    <w:multiLevelType w:val="hybridMultilevel"/>
    <w:tmpl w:val="28661758"/>
    <w:lvl w:ilvl="0" w:tplc="9BE4063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66178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C12D8"/>
    <w:multiLevelType w:val="hybridMultilevel"/>
    <w:tmpl w:val="21E0D5EA"/>
    <w:lvl w:ilvl="0" w:tplc="6216665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725FE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1171"/>
    <w:multiLevelType w:val="hybridMultilevel"/>
    <w:tmpl w:val="D1E26F4E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C06EA"/>
    <w:multiLevelType w:val="hybridMultilevel"/>
    <w:tmpl w:val="CEF08110"/>
    <w:lvl w:ilvl="0" w:tplc="9BE4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46AF3"/>
    <w:multiLevelType w:val="hybridMultilevel"/>
    <w:tmpl w:val="5A8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8247C"/>
    <w:multiLevelType w:val="hybridMultilevel"/>
    <w:tmpl w:val="BB80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9"/>
  </w:num>
  <w:num w:numId="4">
    <w:abstractNumId w:val="2"/>
  </w:num>
  <w:num w:numId="5">
    <w:abstractNumId w:val="30"/>
  </w:num>
  <w:num w:numId="6">
    <w:abstractNumId w:val="40"/>
  </w:num>
  <w:num w:numId="7">
    <w:abstractNumId w:val="42"/>
  </w:num>
  <w:num w:numId="8">
    <w:abstractNumId w:val="44"/>
  </w:num>
  <w:num w:numId="9">
    <w:abstractNumId w:val="13"/>
  </w:num>
  <w:num w:numId="10">
    <w:abstractNumId w:val="38"/>
  </w:num>
  <w:num w:numId="11">
    <w:abstractNumId w:val="9"/>
  </w:num>
  <w:num w:numId="12">
    <w:abstractNumId w:val="0"/>
  </w:num>
  <w:num w:numId="1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2"/>
  </w:num>
  <w:num w:numId="15">
    <w:abstractNumId w:val="26"/>
  </w:num>
  <w:num w:numId="16">
    <w:abstractNumId w:val="14"/>
  </w:num>
  <w:num w:numId="17">
    <w:abstractNumId w:val="43"/>
  </w:num>
  <w:num w:numId="18">
    <w:abstractNumId w:val="35"/>
  </w:num>
  <w:num w:numId="19">
    <w:abstractNumId w:val="7"/>
  </w:num>
  <w:num w:numId="20">
    <w:abstractNumId w:val="36"/>
  </w:num>
  <w:num w:numId="21">
    <w:abstractNumId w:val="15"/>
  </w:num>
  <w:num w:numId="22">
    <w:abstractNumId w:val="41"/>
  </w:num>
  <w:num w:numId="23">
    <w:abstractNumId w:val="23"/>
  </w:num>
  <w:num w:numId="24">
    <w:abstractNumId w:val="34"/>
  </w:num>
  <w:num w:numId="25">
    <w:abstractNumId w:val="18"/>
  </w:num>
  <w:num w:numId="26">
    <w:abstractNumId w:val="1"/>
  </w:num>
  <w:num w:numId="27">
    <w:abstractNumId w:val="10"/>
  </w:num>
  <w:num w:numId="28">
    <w:abstractNumId w:val="46"/>
  </w:num>
  <w:num w:numId="29">
    <w:abstractNumId w:val="17"/>
  </w:num>
  <w:num w:numId="30">
    <w:abstractNumId w:val="25"/>
  </w:num>
  <w:num w:numId="31">
    <w:abstractNumId w:val="21"/>
  </w:num>
  <w:num w:numId="32">
    <w:abstractNumId w:val="16"/>
  </w:num>
  <w:num w:numId="33">
    <w:abstractNumId w:val="24"/>
  </w:num>
  <w:num w:numId="34">
    <w:abstractNumId w:val="31"/>
  </w:num>
  <w:num w:numId="35">
    <w:abstractNumId w:val="11"/>
  </w:num>
  <w:num w:numId="36">
    <w:abstractNumId w:val="3"/>
  </w:num>
  <w:num w:numId="37">
    <w:abstractNumId w:val="4"/>
  </w:num>
  <w:num w:numId="38">
    <w:abstractNumId w:val="6"/>
  </w:num>
  <w:num w:numId="39">
    <w:abstractNumId w:val="27"/>
  </w:num>
  <w:num w:numId="40">
    <w:abstractNumId w:val="8"/>
  </w:num>
  <w:num w:numId="41">
    <w:abstractNumId w:val="37"/>
  </w:num>
  <w:num w:numId="42">
    <w:abstractNumId w:val="45"/>
  </w:num>
  <w:num w:numId="43">
    <w:abstractNumId w:val="19"/>
  </w:num>
  <w:num w:numId="44">
    <w:abstractNumId w:val="33"/>
  </w:num>
  <w:num w:numId="45">
    <w:abstractNumId w:val="29"/>
  </w:num>
  <w:num w:numId="46">
    <w:abstractNumId w:val="12"/>
  </w:num>
  <w:num w:numId="47">
    <w:abstractNumId w:val="28"/>
  </w:num>
  <w:num w:numId="4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23"/>
    <w:rsid w:val="00006EB4"/>
    <w:rsid w:val="00014BB8"/>
    <w:rsid w:val="0002306E"/>
    <w:rsid w:val="0002410A"/>
    <w:rsid w:val="000268E8"/>
    <w:rsid w:val="00037D40"/>
    <w:rsid w:val="000447F5"/>
    <w:rsid w:val="00051CEB"/>
    <w:rsid w:val="00054FA3"/>
    <w:rsid w:val="000570BF"/>
    <w:rsid w:val="00061142"/>
    <w:rsid w:val="00076440"/>
    <w:rsid w:val="00087515"/>
    <w:rsid w:val="000949C9"/>
    <w:rsid w:val="00095A90"/>
    <w:rsid w:val="00097E8B"/>
    <w:rsid w:val="000B29BC"/>
    <w:rsid w:val="000B3757"/>
    <w:rsid w:val="000B76F2"/>
    <w:rsid w:val="000C6051"/>
    <w:rsid w:val="000C7B54"/>
    <w:rsid w:val="000D0ACE"/>
    <w:rsid w:val="000D78E5"/>
    <w:rsid w:val="000E0C00"/>
    <w:rsid w:val="000E25B1"/>
    <w:rsid w:val="000F14CE"/>
    <w:rsid w:val="00105867"/>
    <w:rsid w:val="00112F2B"/>
    <w:rsid w:val="0011314A"/>
    <w:rsid w:val="001153CD"/>
    <w:rsid w:val="00122B4B"/>
    <w:rsid w:val="00124CF3"/>
    <w:rsid w:val="00136E1D"/>
    <w:rsid w:val="001468C5"/>
    <w:rsid w:val="00151506"/>
    <w:rsid w:val="00154BD4"/>
    <w:rsid w:val="001602A6"/>
    <w:rsid w:val="001708D2"/>
    <w:rsid w:val="00171E69"/>
    <w:rsid w:val="001736C0"/>
    <w:rsid w:val="00174E3D"/>
    <w:rsid w:val="00175D66"/>
    <w:rsid w:val="001761D5"/>
    <w:rsid w:val="00183448"/>
    <w:rsid w:val="00184F84"/>
    <w:rsid w:val="00196397"/>
    <w:rsid w:val="001A0537"/>
    <w:rsid w:val="001B171B"/>
    <w:rsid w:val="001B38D8"/>
    <w:rsid w:val="001C7864"/>
    <w:rsid w:val="001D646F"/>
    <w:rsid w:val="001E0560"/>
    <w:rsid w:val="001E23F1"/>
    <w:rsid w:val="001E2E03"/>
    <w:rsid w:val="001E5327"/>
    <w:rsid w:val="002024DE"/>
    <w:rsid w:val="002073DD"/>
    <w:rsid w:val="00212AF4"/>
    <w:rsid w:val="00221D65"/>
    <w:rsid w:val="00222077"/>
    <w:rsid w:val="00222130"/>
    <w:rsid w:val="00222B20"/>
    <w:rsid w:val="00224820"/>
    <w:rsid w:val="002326C5"/>
    <w:rsid w:val="0023454E"/>
    <w:rsid w:val="00275426"/>
    <w:rsid w:val="00284070"/>
    <w:rsid w:val="00291403"/>
    <w:rsid w:val="002917E7"/>
    <w:rsid w:val="0029633F"/>
    <w:rsid w:val="002A4CD9"/>
    <w:rsid w:val="002A5D22"/>
    <w:rsid w:val="002A5EEA"/>
    <w:rsid w:val="002B0B44"/>
    <w:rsid w:val="002B7269"/>
    <w:rsid w:val="002B79CA"/>
    <w:rsid w:val="002C6AFD"/>
    <w:rsid w:val="002C785F"/>
    <w:rsid w:val="002D4036"/>
    <w:rsid w:val="002D40EB"/>
    <w:rsid w:val="002E1C91"/>
    <w:rsid w:val="002E201A"/>
    <w:rsid w:val="002F05D1"/>
    <w:rsid w:val="002F1215"/>
    <w:rsid w:val="002F68E9"/>
    <w:rsid w:val="00310898"/>
    <w:rsid w:val="00311D60"/>
    <w:rsid w:val="00316500"/>
    <w:rsid w:val="003170B8"/>
    <w:rsid w:val="0032428E"/>
    <w:rsid w:val="00327716"/>
    <w:rsid w:val="00335C76"/>
    <w:rsid w:val="00355B02"/>
    <w:rsid w:val="00357936"/>
    <w:rsid w:val="00362F6D"/>
    <w:rsid w:val="00367866"/>
    <w:rsid w:val="00370768"/>
    <w:rsid w:val="00370CCD"/>
    <w:rsid w:val="00373ACA"/>
    <w:rsid w:val="00374C63"/>
    <w:rsid w:val="00380726"/>
    <w:rsid w:val="00382E87"/>
    <w:rsid w:val="0038550C"/>
    <w:rsid w:val="0038591B"/>
    <w:rsid w:val="00385AFA"/>
    <w:rsid w:val="0039594D"/>
    <w:rsid w:val="00396A0A"/>
    <w:rsid w:val="003A5728"/>
    <w:rsid w:val="003B4565"/>
    <w:rsid w:val="003B6D20"/>
    <w:rsid w:val="003C4C45"/>
    <w:rsid w:val="003C5368"/>
    <w:rsid w:val="003D115F"/>
    <w:rsid w:val="003D7C90"/>
    <w:rsid w:val="003E3B48"/>
    <w:rsid w:val="003E5C38"/>
    <w:rsid w:val="003E7952"/>
    <w:rsid w:val="003F0C8E"/>
    <w:rsid w:val="00404F51"/>
    <w:rsid w:val="0041251D"/>
    <w:rsid w:val="00412A3D"/>
    <w:rsid w:val="00420D1B"/>
    <w:rsid w:val="0042430C"/>
    <w:rsid w:val="00425868"/>
    <w:rsid w:val="004356F3"/>
    <w:rsid w:val="00440E24"/>
    <w:rsid w:val="00443200"/>
    <w:rsid w:val="00450DA9"/>
    <w:rsid w:val="004701C4"/>
    <w:rsid w:val="004704A6"/>
    <w:rsid w:val="00470D5B"/>
    <w:rsid w:val="00471546"/>
    <w:rsid w:val="00473827"/>
    <w:rsid w:val="00475EE4"/>
    <w:rsid w:val="00482141"/>
    <w:rsid w:val="00483D3A"/>
    <w:rsid w:val="00486610"/>
    <w:rsid w:val="00490D82"/>
    <w:rsid w:val="0049478C"/>
    <w:rsid w:val="004957EF"/>
    <w:rsid w:val="004A4D30"/>
    <w:rsid w:val="004A77F0"/>
    <w:rsid w:val="004B0C9A"/>
    <w:rsid w:val="004B342B"/>
    <w:rsid w:val="004B54E6"/>
    <w:rsid w:val="004D0B42"/>
    <w:rsid w:val="004D38F0"/>
    <w:rsid w:val="004D792E"/>
    <w:rsid w:val="004E7F32"/>
    <w:rsid w:val="004F2ED9"/>
    <w:rsid w:val="004F3FD1"/>
    <w:rsid w:val="004F6B45"/>
    <w:rsid w:val="00504277"/>
    <w:rsid w:val="00504D17"/>
    <w:rsid w:val="00510B02"/>
    <w:rsid w:val="00517EB3"/>
    <w:rsid w:val="005240FA"/>
    <w:rsid w:val="00527919"/>
    <w:rsid w:val="00531E4E"/>
    <w:rsid w:val="005423F0"/>
    <w:rsid w:val="00544053"/>
    <w:rsid w:val="00546257"/>
    <w:rsid w:val="00547398"/>
    <w:rsid w:val="0055348E"/>
    <w:rsid w:val="00556D68"/>
    <w:rsid w:val="00556F9A"/>
    <w:rsid w:val="00575ECC"/>
    <w:rsid w:val="00577D4D"/>
    <w:rsid w:val="00582929"/>
    <w:rsid w:val="00582A3F"/>
    <w:rsid w:val="00590B4A"/>
    <w:rsid w:val="00596BD0"/>
    <w:rsid w:val="00597094"/>
    <w:rsid w:val="005A4E89"/>
    <w:rsid w:val="005A7718"/>
    <w:rsid w:val="005B382D"/>
    <w:rsid w:val="005C5DDB"/>
    <w:rsid w:val="005C6252"/>
    <w:rsid w:val="005D0B31"/>
    <w:rsid w:val="005D146D"/>
    <w:rsid w:val="005D2E53"/>
    <w:rsid w:val="005D3BB0"/>
    <w:rsid w:val="005F40FF"/>
    <w:rsid w:val="00600D5C"/>
    <w:rsid w:val="00602DA9"/>
    <w:rsid w:val="006170CF"/>
    <w:rsid w:val="00623CFA"/>
    <w:rsid w:val="006251C9"/>
    <w:rsid w:val="0064105F"/>
    <w:rsid w:val="00642F13"/>
    <w:rsid w:val="00675158"/>
    <w:rsid w:val="00675E1E"/>
    <w:rsid w:val="00676859"/>
    <w:rsid w:val="00683830"/>
    <w:rsid w:val="00691209"/>
    <w:rsid w:val="00691796"/>
    <w:rsid w:val="006952AC"/>
    <w:rsid w:val="006A346B"/>
    <w:rsid w:val="006A5669"/>
    <w:rsid w:val="006B09EF"/>
    <w:rsid w:val="006B2824"/>
    <w:rsid w:val="006B53D9"/>
    <w:rsid w:val="006E5194"/>
    <w:rsid w:val="006E72AB"/>
    <w:rsid w:val="006F163A"/>
    <w:rsid w:val="00704739"/>
    <w:rsid w:val="007061F9"/>
    <w:rsid w:val="0070757F"/>
    <w:rsid w:val="00713426"/>
    <w:rsid w:val="00721E3D"/>
    <w:rsid w:val="0072506A"/>
    <w:rsid w:val="00727B9D"/>
    <w:rsid w:val="007348BC"/>
    <w:rsid w:val="00734988"/>
    <w:rsid w:val="0074640B"/>
    <w:rsid w:val="00746624"/>
    <w:rsid w:val="0075089E"/>
    <w:rsid w:val="00754926"/>
    <w:rsid w:val="00766F38"/>
    <w:rsid w:val="00770EEA"/>
    <w:rsid w:val="00775EBB"/>
    <w:rsid w:val="00781823"/>
    <w:rsid w:val="007918FF"/>
    <w:rsid w:val="007A008E"/>
    <w:rsid w:val="007A1A9B"/>
    <w:rsid w:val="007A23F4"/>
    <w:rsid w:val="007A44F1"/>
    <w:rsid w:val="007A62C6"/>
    <w:rsid w:val="007A64C9"/>
    <w:rsid w:val="007B4AB2"/>
    <w:rsid w:val="007D5530"/>
    <w:rsid w:val="007D6C8A"/>
    <w:rsid w:val="007E044F"/>
    <w:rsid w:val="007E1456"/>
    <w:rsid w:val="007E1D8E"/>
    <w:rsid w:val="007E28E0"/>
    <w:rsid w:val="007F7876"/>
    <w:rsid w:val="00800156"/>
    <w:rsid w:val="00803B46"/>
    <w:rsid w:val="00804BF4"/>
    <w:rsid w:val="00806618"/>
    <w:rsid w:val="008262F7"/>
    <w:rsid w:val="00833D58"/>
    <w:rsid w:val="008373BE"/>
    <w:rsid w:val="00837FF4"/>
    <w:rsid w:val="00852EC6"/>
    <w:rsid w:val="00854E8B"/>
    <w:rsid w:val="008576C6"/>
    <w:rsid w:val="0085795F"/>
    <w:rsid w:val="00863B7F"/>
    <w:rsid w:val="0086557B"/>
    <w:rsid w:val="00872F46"/>
    <w:rsid w:val="00874DB4"/>
    <w:rsid w:val="0088240E"/>
    <w:rsid w:val="008A56B0"/>
    <w:rsid w:val="008A5D3A"/>
    <w:rsid w:val="008A6601"/>
    <w:rsid w:val="008D582D"/>
    <w:rsid w:val="008E177C"/>
    <w:rsid w:val="008E47BD"/>
    <w:rsid w:val="008E77F4"/>
    <w:rsid w:val="008F26F3"/>
    <w:rsid w:val="008F6F92"/>
    <w:rsid w:val="00901B7F"/>
    <w:rsid w:val="00902754"/>
    <w:rsid w:val="009039B7"/>
    <w:rsid w:val="00914402"/>
    <w:rsid w:val="0092442B"/>
    <w:rsid w:val="00931841"/>
    <w:rsid w:val="00933E06"/>
    <w:rsid w:val="0093642F"/>
    <w:rsid w:val="00945410"/>
    <w:rsid w:val="00950FEC"/>
    <w:rsid w:val="009525D8"/>
    <w:rsid w:val="00954C18"/>
    <w:rsid w:val="009600EB"/>
    <w:rsid w:val="0096369C"/>
    <w:rsid w:val="00970DE3"/>
    <w:rsid w:val="009731D5"/>
    <w:rsid w:val="0097561C"/>
    <w:rsid w:val="009830FA"/>
    <w:rsid w:val="00986885"/>
    <w:rsid w:val="00987149"/>
    <w:rsid w:val="009A13A6"/>
    <w:rsid w:val="009A3A9D"/>
    <w:rsid w:val="009A7B00"/>
    <w:rsid w:val="009B164F"/>
    <w:rsid w:val="009C34DE"/>
    <w:rsid w:val="009C53BB"/>
    <w:rsid w:val="009C6A42"/>
    <w:rsid w:val="009D01F3"/>
    <w:rsid w:val="009D05F5"/>
    <w:rsid w:val="009D3E91"/>
    <w:rsid w:val="009D6403"/>
    <w:rsid w:val="009E1558"/>
    <w:rsid w:val="009E1651"/>
    <w:rsid w:val="009E26AD"/>
    <w:rsid w:val="009E5FE3"/>
    <w:rsid w:val="009E6B7F"/>
    <w:rsid w:val="009E6E00"/>
    <w:rsid w:val="009F2E07"/>
    <w:rsid w:val="009F4034"/>
    <w:rsid w:val="00A11755"/>
    <w:rsid w:val="00A20B40"/>
    <w:rsid w:val="00A223A7"/>
    <w:rsid w:val="00A26FBA"/>
    <w:rsid w:val="00A27FEF"/>
    <w:rsid w:val="00A46A15"/>
    <w:rsid w:val="00A53F48"/>
    <w:rsid w:val="00A604C3"/>
    <w:rsid w:val="00A61F73"/>
    <w:rsid w:val="00A62222"/>
    <w:rsid w:val="00A6691D"/>
    <w:rsid w:val="00A74A48"/>
    <w:rsid w:val="00A81A66"/>
    <w:rsid w:val="00A851D0"/>
    <w:rsid w:val="00A93E55"/>
    <w:rsid w:val="00A9466E"/>
    <w:rsid w:val="00A9494E"/>
    <w:rsid w:val="00A94BF4"/>
    <w:rsid w:val="00AA10EB"/>
    <w:rsid w:val="00AA1883"/>
    <w:rsid w:val="00AA1F3E"/>
    <w:rsid w:val="00AA2A71"/>
    <w:rsid w:val="00AA64BA"/>
    <w:rsid w:val="00AA6BEC"/>
    <w:rsid w:val="00AC0695"/>
    <w:rsid w:val="00AC4754"/>
    <w:rsid w:val="00AC4E75"/>
    <w:rsid w:val="00AD2276"/>
    <w:rsid w:val="00AD2659"/>
    <w:rsid w:val="00AE0467"/>
    <w:rsid w:val="00AE1A2D"/>
    <w:rsid w:val="00AE54FD"/>
    <w:rsid w:val="00B37099"/>
    <w:rsid w:val="00B37923"/>
    <w:rsid w:val="00B44789"/>
    <w:rsid w:val="00B54BC9"/>
    <w:rsid w:val="00B658F6"/>
    <w:rsid w:val="00B772C1"/>
    <w:rsid w:val="00B773A2"/>
    <w:rsid w:val="00B8515B"/>
    <w:rsid w:val="00BA008C"/>
    <w:rsid w:val="00BA05F3"/>
    <w:rsid w:val="00BA0AB6"/>
    <w:rsid w:val="00BA373C"/>
    <w:rsid w:val="00BB1C68"/>
    <w:rsid w:val="00BC4725"/>
    <w:rsid w:val="00BC67A5"/>
    <w:rsid w:val="00BD4C45"/>
    <w:rsid w:val="00BD4E2E"/>
    <w:rsid w:val="00BE0382"/>
    <w:rsid w:val="00BE2323"/>
    <w:rsid w:val="00BE34A0"/>
    <w:rsid w:val="00BE6C27"/>
    <w:rsid w:val="00BF0BAF"/>
    <w:rsid w:val="00BF1950"/>
    <w:rsid w:val="00BF1D68"/>
    <w:rsid w:val="00BF65DF"/>
    <w:rsid w:val="00BF66B4"/>
    <w:rsid w:val="00C0342F"/>
    <w:rsid w:val="00C11683"/>
    <w:rsid w:val="00C127FB"/>
    <w:rsid w:val="00C13AAA"/>
    <w:rsid w:val="00C227DE"/>
    <w:rsid w:val="00C25CFB"/>
    <w:rsid w:val="00C424A4"/>
    <w:rsid w:val="00C475D2"/>
    <w:rsid w:val="00C62060"/>
    <w:rsid w:val="00C66A73"/>
    <w:rsid w:val="00C70EE5"/>
    <w:rsid w:val="00C72823"/>
    <w:rsid w:val="00C76C50"/>
    <w:rsid w:val="00C82FEE"/>
    <w:rsid w:val="00C94623"/>
    <w:rsid w:val="00C979B6"/>
    <w:rsid w:val="00CA06B4"/>
    <w:rsid w:val="00CA3B70"/>
    <w:rsid w:val="00CB07AF"/>
    <w:rsid w:val="00CC5934"/>
    <w:rsid w:val="00CC6CDD"/>
    <w:rsid w:val="00CD1D1A"/>
    <w:rsid w:val="00CD4E71"/>
    <w:rsid w:val="00CD54D1"/>
    <w:rsid w:val="00CE0A37"/>
    <w:rsid w:val="00CE24A2"/>
    <w:rsid w:val="00CE63DE"/>
    <w:rsid w:val="00CF1DAB"/>
    <w:rsid w:val="00CF4C8D"/>
    <w:rsid w:val="00D04AA2"/>
    <w:rsid w:val="00D10533"/>
    <w:rsid w:val="00D233F3"/>
    <w:rsid w:val="00D30C61"/>
    <w:rsid w:val="00D40531"/>
    <w:rsid w:val="00D47FC9"/>
    <w:rsid w:val="00D551E0"/>
    <w:rsid w:val="00D55CC0"/>
    <w:rsid w:val="00D67BC7"/>
    <w:rsid w:val="00D83CE1"/>
    <w:rsid w:val="00D85A50"/>
    <w:rsid w:val="00D90264"/>
    <w:rsid w:val="00D93718"/>
    <w:rsid w:val="00D93E3A"/>
    <w:rsid w:val="00D9516E"/>
    <w:rsid w:val="00DA208B"/>
    <w:rsid w:val="00DA5267"/>
    <w:rsid w:val="00DB31E7"/>
    <w:rsid w:val="00DB5396"/>
    <w:rsid w:val="00DB5610"/>
    <w:rsid w:val="00DD1950"/>
    <w:rsid w:val="00DD4AAB"/>
    <w:rsid w:val="00DD6050"/>
    <w:rsid w:val="00DD61AC"/>
    <w:rsid w:val="00DD74F9"/>
    <w:rsid w:val="00DF1107"/>
    <w:rsid w:val="00DF263C"/>
    <w:rsid w:val="00E02F5D"/>
    <w:rsid w:val="00E03E01"/>
    <w:rsid w:val="00E11397"/>
    <w:rsid w:val="00E16E5A"/>
    <w:rsid w:val="00E25257"/>
    <w:rsid w:val="00E31803"/>
    <w:rsid w:val="00E32EDB"/>
    <w:rsid w:val="00E33AEC"/>
    <w:rsid w:val="00E37691"/>
    <w:rsid w:val="00E41A95"/>
    <w:rsid w:val="00E53132"/>
    <w:rsid w:val="00E54214"/>
    <w:rsid w:val="00E5511D"/>
    <w:rsid w:val="00E6201A"/>
    <w:rsid w:val="00E678E6"/>
    <w:rsid w:val="00E71BA5"/>
    <w:rsid w:val="00E76B62"/>
    <w:rsid w:val="00E83660"/>
    <w:rsid w:val="00E91FD3"/>
    <w:rsid w:val="00EA1F76"/>
    <w:rsid w:val="00EB2D25"/>
    <w:rsid w:val="00EB32BA"/>
    <w:rsid w:val="00EB4432"/>
    <w:rsid w:val="00EB463F"/>
    <w:rsid w:val="00EC5A68"/>
    <w:rsid w:val="00ED0634"/>
    <w:rsid w:val="00ED7357"/>
    <w:rsid w:val="00EE0559"/>
    <w:rsid w:val="00EE7BF8"/>
    <w:rsid w:val="00F00941"/>
    <w:rsid w:val="00F14269"/>
    <w:rsid w:val="00F34742"/>
    <w:rsid w:val="00F34E14"/>
    <w:rsid w:val="00F3582E"/>
    <w:rsid w:val="00F368FD"/>
    <w:rsid w:val="00F52B95"/>
    <w:rsid w:val="00F61170"/>
    <w:rsid w:val="00F62FE2"/>
    <w:rsid w:val="00F6513B"/>
    <w:rsid w:val="00F72104"/>
    <w:rsid w:val="00F75F17"/>
    <w:rsid w:val="00F963C4"/>
    <w:rsid w:val="00FA4AA5"/>
    <w:rsid w:val="00FA5EC9"/>
    <w:rsid w:val="00FA6454"/>
    <w:rsid w:val="00FB4CD3"/>
    <w:rsid w:val="00FC16E1"/>
    <w:rsid w:val="00FC6DF8"/>
    <w:rsid w:val="00FD1FEA"/>
    <w:rsid w:val="00FF55D0"/>
    <w:rsid w:val="039D4B6D"/>
    <w:rsid w:val="04FCA339"/>
    <w:rsid w:val="0BA7D8B4"/>
    <w:rsid w:val="19103BA7"/>
    <w:rsid w:val="26193100"/>
    <w:rsid w:val="3B66A230"/>
    <w:rsid w:val="3BE01E85"/>
    <w:rsid w:val="46DADF65"/>
    <w:rsid w:val="4C00E1ED"/>
    <w:rsid w:val="4DEF283C"/>
    <w:rsid w:val="5ADFC7A2"/>
    <w:rsid w:val="7123A725"/>
    <w:rsid w:val="71397556"/>
    <w:rsid w:val="7322ADCE"/>
    <w:rsid w:val="7F9AE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710AA"/>
  <w15:docId w15:val="{935925EB-C58E-4372-ADC5-BF15525E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A5B"/>
    <w:rPr>
      <w:rFonts w:eastAsia="SimSun"/>
      <w:lang w:eastAsia="zh-CN"/>
    </w:rPr>
  </w:style>
  <w:style w:type="paragraph" w:styleId="Heading1">
    <w:name w:val="heading 1"/>
    <w:basedOn w:val="Normal"/>
    <w:next w:val="Normal"/>
    <w:qFormat/>
    <w:rsid w:val="00B37923"/>
    <w:pPr>
      <w:keepNext/>
      <w:jc w:val="right"/>
      <w:outlineLvl w:val="0"/>
    </w:pPr>
    <w:rPr>
      <w:rFonts w:ascii="Arial" w:eastAsia="Arial Unicode MS" w:hAnsi="Arial" w:cs="Arial"/>
      <w:b/>
      <w:bCs/>
      <w:sz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33B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81A22"/>
    <w:rPr>
      <w:sz w:val="20"/>
      <w:szCs w:val="20"/>
    </w:rPr>
  </w:style>
  <w:style w:type="character" w:styleId="FootnoteReference">
    <w:name w:val="footnote reference"/>
    <w:semiHidden/>
    <w:rsid w:val="00581A22"/>
    <w:rPr>
      <w:vertAlign w:val="superscript"/>
    </w:rPr>
  </w:style>
  <w:style w:type="paragraph" w:customStyle="1" w:styleId="MediumShading1-Accent11">
    <w:name w:val="Medium Shading 1 - Accent 11"/>
    <w:link w:val="MediumShading1-Accent1Char"/>
    <w:qFormat/>
    <w:rsid w:val="00C7359A"/>
    <w:rPr>
      <w:rFonts w:ascii="Calibri" w:hAnsi="Calibri" w:cs="Arial"/>
      <w:sz w:val="22"/>
      <w:szCs w:val="22"/>
    </w:rPr>
  </w:style>
  <w:style w:type="character" w:customStyle="1" w:styleId="MediumShading1-Accent1Char">
    <w:name w:val="Medium Shading 1 - Accent 1 Char"/>
    <w:link w:val="MediumShading1-Accent11"/>
    <w:locked/>
    <w:rsid w:val="00C7359A"/>
    <w:rPr>
      <w:rFonts w:ascii="Calibri" w:hAnsi="Calibri" w:cs="Arial"/>
      <w:sz w:val="22"/>
      <w:szCs w:val="22"/>
      <w:lang w:val="en-US" w:eastAsia="en-US" w:bidi="ar-SA"/>
    </w:rPr>
  </w:style>
  <w:style w:type="paragraph" w:customStyle="1" w:styleId="MediumGrid1-Accent21">
    <w:name w:val="Medium Grid 1 - Accent 21"/>
    <w:basedOn w:val="Normal"/>
    <w:uiPriority w:val="34"/>
    <w:qFormat/>
    <w:rsid w:val="00C7359A"/>
    <w:pPr>
      <w:ind w:left="720"/>
      <w:contextualSpacing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rsid w:val="00C73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735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C7359A"/>
    <w:rPr>
      <w:rFonts w:eastAsia="SimSun"/>
      <w:sz w:val="24"/>
      <w:szCs w:val="24"/>
      <w:lang w:val="en-US" w:eastAsia="zh-CN" w:bidi="ar-SA"/>
    </w:rPr>
  </w:style>
  <w:style w:type="character" w:customStyle="1" w:styleId="FooterChar">
    <w:name w:val="Footer Char"/>
    <w:link w:val="Footer"/>
    <w:locked/>
    <w:rsid w:val="00C7359A"/>
    <w:rPr>
      <w:rFonts w:eastAsia="SimSun"/>
      <w:sz w:val="24"/>
      <w:szCs w:val="24"/>
      <w:lang w:val="en-US" w:eastAsia="zh-CN" w:bidi="ar-SA"/>
    </w:rPr>
  </w:style>
  <w:style w:type="paragraph" w:styleId="EndnoteText">
    <w:name w:val="endnote text"/>
    <w:basedOn w:val="Normal"/>
    <w:link w:val="EndnoteTextChar"/>
    <w:rsid w:val="00532AC1"/>
    <w:rPr>
      <w:sz w:val="20"/>
      <w:szCs w:val="20"/>
    </w:rPr>
  </w:style>
  <w:style w:type="character" w:customStyle="1" w:styleId="EndnoteTextChar">
    <w:name w:val="Endnote Text Char"/>
    <w:link w:val="EndnoteText"/>
    <w:rsid w:val="00532AC1"/>
    <w:rPr>
      <w:rFonts w:eastAsia="SimSun"/>
      <w:lang w:eastAsia="zh-CN"/>
    </w:rPr>
  </w:style>
  <w:style w:type="character" w:styleId="EndnoteReference">
    <w:name w:val="endnote reference"/>
    <w:rsid w:val="00532AC1"/>
    <w:rPr>
      <w:vertAlign w:val="superscript"/>
    </w:rPr>
  </w:style>
  <w:style w:type="character" w:customStyle="1" w:styleId="profilename">
    <w:name w:val="profilename"/>
    <w:basedOn w:val="DefaultParagraphFont"/>
    <w:rsid w:val="00B83ED2"/>
  </w:style>
  <w:style w:type="character" w:styleId="Hyperlink">
    <w:name w:val="Hyperlink"/>
    <w:rsid w:val="00707BA4"/>
    <w:rPr>
      <w:color w:val="0000FF"/>
      <w:u w:val="single"/>
    </w:rPr>
  </w:style>
  <w:style w:type="character" w:styleId="CommentReference">
    <w:name w:val="annotation reference"/>
    <w:rsid w:val="00707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7BA4"/>
    <w:rPr>
      <w:sz w:val="20"/>
      <w:szCs w:val="20"/>
    </w:rPr>
  </w:style>
  <w:style w:type="character" w:customStyle="1" w:styleId="CommentTextChar">
    <w:name w:val="Comment Text Char"/>
    <w:link w:val="CommentText"/>
    <w:rsid w:val="00707BA4"/>
    <w:rPr>
      <w:rFonts w:eastAsia="SimSun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07BA4"/>
    <w:rPr>
      <w:b/>
      <w:bCs/>
    </w:rPr>
  </w:style>
  <w:style w:type="character" w:customStyle="1" w:styleId="CommentSubjectChar">
    <w:name w:val="Comment Subject Char"/>
    <w:link w:val="CommentSubject"/>
    <w:rsid w:val="00707BA4"/>
    <w:rPr>
      <w:rFonts w:eastAsia="SimSun"/>
      <w:b/>
      <w:bCs/>
      <w:lang w:val="en-US" w:eastAsia="zh-CN"/>
    </w:rPr>
  </w:style>
  <w:style w:type="character" w:styleId="PageNumber">
    <w:name w:val="page number"/>
    <w:basedOn w:val="DefaultParagraphFont"/>
    <w:rsid w:val="000956FD"/>
  </w:style>
  <w:style w:type="paragraph" w:customStyle="1" w:styleId="MediumGrid21">
    <w:name w:val="Medium Grid 21"/>
    <w:link w:val="MediumGrid2Char1"/>
    <w:qFormat/>
    <w:rsid w:val="00653BCF"/>
    <w:rPr>
      <w:rFonts w:ascii="Calibri" w:hAnsi="Calibri"/>
      <w:sz w:val="22"/>
      <w:szCs w:val="22"/>
    </w:rPr>
  </w:style>
  <w:style w:type="character" w:customStyle="1" w:styleId="MediumGrid2Char1">
    <w:name w:val="Medium Grid 2 Char1"/>
    <w:link w:val="MediumGrid21"/>
    <w:locked/>
    <w:rsid w:val="00653BCF"/>
    <w:rPr>
      <w:rFonts w:ascii="Calibri" w:hAnsi="Calibri"/>
      <w:sz w:val="22"/>
      <w:szCs w:val="22"/>
      <w:lang w:bidi="ar-SA"/>
    </w:rPr>
  </w:style>
  <w:style w:type="paragraph" w:styleId="ListBullet">
    <w:name w:val="List Bullet"/>
    <w:basedOn w:val="Normal"/>
    <w:uiPriority w:val="9"/>
    <w:qFormat/>
    <w:rsid w:val="00350A26"/>
    <w:pPr>
      <w:numPr>
        <w:numId w:val="21"/>
      </w:numPr>
      <w:tabs>
        <w:tab w:val="clear" w:pos="432"/>
      </w:tabs>
      <w:spacing w:after="120" w:line="259" w:lineRule="auto"/>
      <w:ind w:left="1080" w:hanging="720"/>
    </w:pPr>
    <w:rPr>
      <w:rFonts w:ascii="Calibri" w:eastAsia="Calibri" w:hAnsi="Calibri" w:cs="Arial"/>
      <w:color w:val="595959"/>
      <w:sz w:val="30"/>
      <w:szCs w:val="30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9B2FA4"/>
    <w:rPr>
      <w:color w:val="605E5C"/>
      <w:shd w:val="clear" w:color="auto" w:fill="E1DFDD"/>
    </w:rPr>
  </w:style>
  <w:style w:type="paragraph" w:customStyle="1" w:styleId="Default">
    <w:name w:val="Default"/>
    <w:rsid w:val="00D53B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E59FC"/>
    <w:pPr>
      <w:spacing w:after="300"/>
    </w:pPr>
    <w:rPr>
      <w:rFonts w:eastAsia="Times New Roman"/>
      <w:lang w:val="en-GB" w:eastAsia="en-GB"/>
    </w:rPr>
  </w:style>
  <w:style w:type="paragraph" w:customStyle="1" w:styleId="ColorfulShading-Accent31">
    <w:name w:val="Colorful Shading - Accent 31"/>
    <w:basedOn w:val="Normal"/>
    <w:uiPriority w:val="34"/>
    <w:qFormat/>
    <w:rsid w:val="008D298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FollowedHyperlink">
    <w:name w:val="FollowedHyperlink"/>
    <w:rsid w:val="00A446ED"/>
    <w:rPr>
      <w:color w:val="800080"/>
      <w:u w:val="single"/>
    </w:rPr>
  </w:style>
  <w:style w:type="paragraph" w:styleId="ListParagraph">
    <w:name w:val="List Paragraph"/>
    <w:aliases w:val="List Paragraph (numbered (a)),List Paragraph11,Bullets,Numbered Paragraph,Main numbered paragraph,123 List Paragraph,Body,References,List_Paragraph,Multilevel para_II,List Paragraph1,Normal 2 DC,Numbered List Paragraph,Liste 1,Dot pt,lp1"/>
    <w:basedOn w:val="Normal"/>
    <w:link w:val="ListParagraphChar"/>
    <w:uiPriority w:val="34"/>
    <w:qFormat/>
    <w:rsid w:val="008A56B0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1 Char,Bullets Char,Numbered Paragraph Char,Main numbered paragraph Char,123 List Paragraph Char,Body Char,References Char,List_Paragraph Char,Multilevel para_II Char,Normal 2 DC Char"/>
    <w:basedOn w:val="DefaultParagraphFont"/>
    <w:link w:val="ListParagraph"/>
    <w:uiPriority w:val="34"/>
    <w:qFormat/>
    <w:locked/>
    <w:rsid w:val="000570BF"/>
    <w:rPr>
      <w:rFonts w:eastAsia="SimSun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djukic@ifc.or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djukic@ifc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mdjukic@ifc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djukic@ifc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ldbankgroup.zoom.us/j/94148108484?pwd=S3dOYWd6L2h0ekxRWm83clhKZkpldz0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35D9EEC7BE84EBA57F60A28B25C3E" ma:contentTypeVersion="15" ma:contentTypeDescription="Create a new document." ma:contentTypeScope="" ma:versionID="d17d89dea93d64866839109fd2f717bd">
  <xsd:schema xmlns:xsd="http://www.w3.org/2001/XMLSchema" xmlns:xs="http://www.w3.org/2001/XMLSchema" xmlns:p="http://schemas.microsoft.com/office/2006/metadata/properties" xmlns:ns1="http://schemas.microsoft.com/sharepoint/v3" xmlns:ns3="98ac8286-1dcb-443f-9c2c-5155aaf7d39d" xmlns:ns4="a1056d45-a318-4d83-a7c5-2e1035740bd5" targetNamespace="http://schemas.microsoft.com/office/2006/metadata/properties" ma:root="true" ma:fieldsID="62d3b9ef86402d7822523f61895dc8b3" ns1:_="" ns3:_="" ns4:_="">
    <xsd:import namespace="http://schemas.microsoft.com/sharepoint/v3"/>
    <xsd:import namespace="98ac8286-1dcb-443f-9c2c-5155aaf7d39d"/>
    <xsd:import namespace="a1056d45-a318-4d83-a7c5-2e1035740b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8286-1dcb-443f-9c2c-5155aaf7d3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6d45-a318-4d83-a7c5-2e1035740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EE62-A020-41C0-BF58-DE4CF7A9E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ADB214-D858-4D5C-B083-2A0F281B7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49C1C-CFAE-4EC8-AC1C-4337E3902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c8286-1dcb-443f-9c2c-5155aaf7d39d"/>
    <ds:schemaRef ds:uri="a1056d45-a318-4d83-a7c5-2e1035740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CF65C-A53B-F842-A4C5-5D43369B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IFC</Company>
  <LinksUpToDate>false</LinksUpToDate>
  <CharactersWithSpaces>10554</CharactersWithSpaces>
  <SharedDoc>false</SharedDoc>
  <HLinks>
    <vt:vector size="6" baseType="variant">
      <vt:variant>
        <vt:i4>5832723</vt:i4>
      </vt:variant>
      <vt:variant>
        <vt:i4>0</vt:i4>
      </vt:variant>
      <vt:variant>
        <vt:i4>0</vt:i4>
      </vt:variant>
      <vt:variant>
        <vt:i4>5</vt:i4>
      </vt:variant>
      <vt:variant>
        <vt:lpwstr>https://worldbankgroup.zoom.us/j/94148108484?pwd=S3dOYWd6L2h0ekxRWm83clhKZkpldz09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helshabrawishi</dc:creator>
  <cp:keywords/>
  <cp:lastModifiedBy>Ralitza Germanova</cp:lastModifiedBy>
  <cp:revision>5</cp:revision>
  <cp:lastPrinted>2020-02-13T14:33:00Z</cp:lastPrinted>
  <dcterms:created xsi:type="dcterms:W3CDTF">2021-06-22T23:14:00Z</dcterms:created>
  <dcterms:modified xsi:type="dcterms:W3CDTF">2021-07-15T02:53:00Z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0x010100D4A35D9EEC7BE84EBA57F60A28B25C3E</vt:lpwstr>
  </property>
</Properties>
</file>